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9945B" w14:textId="1CC27EB9" w:rsidR="00E07F56" w:rsidRDefault="00A5019E" w:rsidP="00E07F56">
      <w:pPr>
        <w:spacing w:after="0" w:line="240" w:lineRule="auto"/>
        <w:ind w:left="-284"/>
        <w:jc w:val="both"/>
        <w:rPr>
          <w:rFonts w:ascii="Tahoma" w:hAnsi="Tahoma" w:cs="Tahoma"/>
          <w:b/>
          <w:lang w:val="es-ES"/>
        </w:rPr>
      </w:pPr>
      <w:r w:rsidRPr="00A5019E">
        <w:rPr>
          <w:rFonts w:ascii="Tahoma" w:hAnsi="Tahoma" w:cs="Tahoma"/>
          <w:b/>
          <w:lang w:val="es-ES"/>
        </w:rPr>
        <w:t>Comisión Permanente</w:t>
      </w:r>
    </w:p>
    <w:p w14:paraId="6C843D78" w14:textId="190D7388" w:rsidR="00A5019E" w:rsidRPr="00A5019E" w:rsidRDefault="00A5019E" w:rsidP="00E07F56">
      <w:pPr>
        <w:spacing w:after="0" w:line="240" w:lineRule="auto"/>
        <w:ind w:left="-284"/>
        <w:jc w:val="both"/>
        <w:rPr>
          <w:rFonts w:ascii="Tahoma" w:hAnsi="Tahoma" w:cs="Tahoma"/>
          <w:bCs/>
          <w:lang w:val="es-ES"/>
        </w:rPr>
      </w:pPr>
      <w:r w:rsidRPr="00A5019E">
        <w:rPr>
          <w:rFonts w:ascii="Tahoma" w:hAnsi="Tahoma" w:cs="Tahoma"/>
          <w:bCs/>
          <w:lang w:val="es-ES"/>
        </w:rPr>
        <w:t xml:space="preserve">13 de </w:t>
      </w:r>
      <w:r>
        <w:rPr>
          <w:rFonts w:ascii="Tahoma" w:hAnsi="Tahoma" w:cs="Tahoma"/>
          <w:bCs/>
          <w:lang w:val="es-ES"/>
        </w:rPr>
        <w:t>enero 2023</w:t>
      </w:r>
    </w:p>
    <w:p w14:paraId="7B4A4EEC" w14:textId="77777777" w:rsidR="00E07F56" w:rsidRPr="00D53EE9" w:rsidRDefault="00E07F56" w:rsidP="00E07F56">
      <w:pPr>
        <w:spacing w:after="0" w:line="240" w:lineRule="auto"/>
        <w:ind w:left="-284"/>
        <w:jc w:val="both"/>
        <w:rPr>
          <w:rFonts w:ascii="Tahoma" w:hAnsi="Tahoma" w:cs="Tahoma"/>
          <w:bCs/>
          <w:lang w:val="es-ES"/>
        </w:rPr>
      </w:pPr>
    </w:p>
    <w:p w14:paraId="6CC2BE0D" w14:textId="77777777" w:rsidR="00E07F56" w:rsidRPr="00D53EE9" w:rsidRDefault="00E07F56" w:rsidP="00E07F56">
      <w:pPr>
        <w:spacing w:after="0" w:line="240" w:lineRule="auto"/>
        <w:ind w:left="-284"/>
        <w:jc w:val="both"/>
        <w:rPr>
          <w:rFonts w:ascii="Tahoma" w:hAnsi="Tahoma" w:cs="Tahoma"/>
          <w:bCs/>
          <w:u w:val="single"/>
          <w:lang w:val="es-ES"/>
        </w:rPr>
      </w:pPr>
      <w:r w:rsidRPr="00D53EE9">
        <w:rPr>
          <w:rFonts w:ascii="Tahoma" w:hAnsi="Tahoma" w:cs="Tahoma"/>
          <w:bCs/>
          <w:u w:val="single"/>
          <w:lang w:val="es-ES"/>
        </w:rPr>
        <w:t>Convocatoria de Jóvenes, Ve...</w:t>
      </w:r>
    </w:p>
    <w:p w14:paraId="0601DE8E"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Incremento del gasto de manutención a 400 euros al mes (Han subido de 200 a 260 euros) por parte de las contrapartes inciden en que no es posible sostener el proyecto con dichos importes.</w:t>
      </w:r>
      <w:r>
        <w:rPr>
          <w:rFonts w:ascii="Tahoma" w:hAnsi="Tahoma" w:cs="Tahoma"/>
          <w:bCs/>
          <w:lang w:val="es-ES"/>
        </w:rPr>
        <w:t xml:space="preserve"> </w:t>
      </w:r>
      <w:proofErr w:type="gramStart"/>
      <w:r>
        <w:rPr>
          <w:rFonts w:ascii="Tahoma" w:hAnsi="Tahoma" w:cs="Tahoma"/>
          <w:bCs/>
          <w:color w:val="0000FF"/>
          <w:lang w:val="es-ES"/>
        </w:rPr>
        <w:t>Valorarán</w:t>
      </w:r>
      <w:proofErr w:type="gramEnd"/>
      <w:r>
        <w:rPr>
          <w:rFonts w:ascii="Tahoma" w:hAnsi="Tahoma" w:cs="Tahoma"/>
          <w:bCs/>
          <w:color w:val="0000FF"/>
          <w:lang w:val="es-ES"/>
        </w:rPr>
        <w:t xml:space="preserve"> pero ven difícil llegar a los 400. La filosofía de fondo no es cargar necesariamente todos los costes a la subvención sino compartir el esfuerzo y la apuesta que las organizaciones/socias locales puedan hacer por esta forma de colaboración. Aun </w:t>
      </w:r>
      <w:proofErr w:type="gramStart"/>
      <w:r>
        <w:rPr>
          <w:rFonts w:ascii="Tahoma" w:hAnsi="Tahoma" w:cs="Tahoma"/>
          <w:bCs/>
          <w:color w:val="0000FF"/>
          <w:lang w:val="es-ES"/>
        </w:rPr>
        <w:t>así</w:t>
      </w:r>
      <w:proofErr w:type="gramEnd"/>
      <w:r>
        <w:rPr>
          <w:rFonts w:ascii="Tahoma" w:hAnsi="Tahoma" w:cs="Tahoma"/>
          <w:bCs/>
          <w:color w:val="0000FF"/>
          <w:lang w:val="es-ES"/>
        </w:rPr>
        <w:t xml:space="preserve"> se reconoce que la casuística entre países puede ser muy distinta.</w:t>
      </w:r>
    </w:p>
    <w:p w14:paraId="10C39B5F"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 xml:space="preserve">Desde GN se comentó que este año no se van a permitir los retrasos de juventud para la publicación de la convocatoria, esperando que salga en marzo. </w:t>
      </w:r>
      <w:r>
        <w:rPr>
          <w:rFonts w:ascii="Tahoma" w:hAnsi="Tahoma" w:cs="Tahoma"/>
          <w:bCs/>
          <w:color w:val="0000FF"/>
          <w:lang w:val="es-ES"/>
        </w:rPr>
        <w:t xml:space="preserve">Se ratifica la intención. </w:t>
      </w:r>
    </w:p>
    <w:p w14:paraId="3B2C3E50" w14:textId="0471389B" w:rsidR="00E07F56" w:rsidRPr="001F12E2" w:rsidRDefault="00E07F56" w:rsidP="00E07F56">
      <w:pPr>
        <w:numPr>
          <w:ilvl w:val="0"/>
          <w:numId w:val="1"/>
        </w:numPr>
        <w:spacing w:after="0" w:line="240" w:lineRule="auto"/>
        <w:ind w:left="-142"/>
        <w:jc w:val="both"/>
        <w:rPr>
          <w:rFonts w:ascii="Tahoma" w:hAnsi="Tahoma" w:cs="Tahoma"/>
          <w:bCs/>
          <w:color w:val="0000FF"/>
          <w:lang w:val="es-ES"/>
        </w:rPr>
      </w:pPr>
      <w:r w:rsidRPr="00D53EE9">
        <w:rPr>
          <w:rFonts w:ascii="Tahoma" w:hAnsi="Tahoma" w:cs="Tahoma"/>
          <w:bCs/>
          <w:lang w:val="es-ES"/>
        </w:rPr>
        <w:t>Incluir gastos de personal en sede como gastos directos</w:t>
      </w:r>
      <w:r>
        <w:rPr>
          <w:rFonts w:ascii="Tahoma" w:hAnsi="Tahoma" w:cs="Tahoma"/>
          <w:bCs/>
          <w:lang w:val="es-ES"/>
        </w:rPr>
        <w:t xml:space="preserve">. </w:t>
      </w:r>
      <w:r w:rsidRPr="001F12E2">
        <w:rPr>
          <w:rFonts w:ascii="Tahoma" w:hAnsi="Tahoma" w:cs="Tahoma"/>
          <w:bCs/>
          <w:color w:val="0000FF"/>
          <w:lang w:val="es-ES"/>
        </w:rPr>
        <w:t>Sin descartarlo del todo necesitarían un poco más de explicación sobre cuál sería el rol, de qué montos o porcentajes se estaría hablando</w:t>
      </w:r>
      <w:r>
        <w:rPr>
          <w:rFonts w:ascii="Tahoma" w:hAnsi="Tahoma" w:cs="Tahoma"/>
          <w:bCs/>
          <w:color w:val="0000FF"/>
          <w:lang w:val="es-ES"/>
        </w:rPr>
        <w:t xml:space="preserve">. Se hablará con las organizaciones que se </w:t>
      </w:r>
      <w:r w:rsidR="00A5019E">
        <w:rPr>
          <w:rFonts w:ascii="Tahoma" w:hAnsi="Tahoma" w:cs="Tahoma"/>
          <w:bCs/>
          <w:color w:val="0000FF"/>
          <w:lang w:val="es-ES"/>
        </w:rPr>
        <w:t>presenten,</w:t>
      </w:r>
      <w:r>
        <w:rPr>
          <w:rFonts w:ascii="Tahoma" w:hAnsi="Tahoma" w:cs="Tahoma"/>
          <w:bCs/>
          <w:color w:val="0000FF"/>
          <w:lang w:val="es-ES"/>
        </w:rPr>
        <w:t xml:space="preserve"> pero no para esta convocatoria. </w:t>
      </w:r>
    </w:p>
    <w:p w14:paraId="2B5F62BF" w14:textId="77777777" w:rsidR="00E07F56" w:rsidRPr="00D53EE9" w:rsidRDefault="00E07F56" w:rsidP="00E07F56">
      <w:pPr>
        <w:spacing w:after="0" w:line="240" w:lineRule="auto"/>
        <w:jc w:val="both"/>
        <w:rPr>
          <w:rFonts w:ascii="Tahoma" w:hAnsi="Tahoma" w:cs="Tahoma"/>
          <w:bCs/>
          <w:lang w:val="es-ES"/>
        </w:rPr>
      </w:pPr>
    </w:p>
    <w:p w14:paraId="055C1182"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 xml:space="preserve">Convocatorias Educación </w:t>
      </w:r>
    </w:p>
    <w:p w14:paraId="38184CB8" w14:textId="77777777" w:rsidR="00E07F56" w:rsidRPr="00D53EE9" w:rsidRDefault="00E07F56" w:rsidP="00E07F56">
      <w:pPr>
        <w:numPr>
          <w:ilvl w:val="0"/>
          <w:numId w:val="1"/>
        </w:numPr>
        <w:spacing w:after="0" w:line="240" w:lineRule="auto"/>
        <w:ind w:left="-142"/>
        <w:jc w:val="both"/>
        <w:rPr>
          <w:rFonts w:ascii="Tahoma" w:hAnsi="Tahoma" w:cs="Tahoma"/>
          <w:bCs/>
          <w:lang w:val="es-ES"/>
        </w:rPr>
      </w:pPr>
      <w:r w:rsidRPr="00D53EE9">
        <w:rPr>
          <w:rFonts w:ascii="Tahoma" w:hAnsi="Tahoma" w:cs="Tahoma"/>
          <w:bCs/>
          <w:lang w:val="es-ES"/>
        </w:rPr>
        <w:t>Traspasar 25.000 euros de cooperación técnica a sensibilización, hay dos cuestiones a destacar: el incremento desproporcionado que ha tenido Cooperación Técnica y la disminución de importe de la propuesta inicial a la final en sensibilización debido al incremento de montos por proyecto en Formal y no Formal (de 35.000 a 38.000). Si es verdad que la partida para sensibilización se incrementa en más de 11 mil euros con relación a los ejecutado en 2022, pero se considera insuficiente.</w:t>
      </w:r>
      <w:r>
        <w:rPr>
          <w:rFonts w:ascii="Tahoma" w:hAnsi="Tahoma" w:cs="Tahoma"/>
          <w:bCs/>
          <w:lang w:val="es-ES"/>
        </w:rPr>
        <w:t xml:space="preserve"> </w:t>
      </w:r>
      <w:r w:rsidRPr="001F12E2">
        <w:rPr>
          <w:rFonts w:ascii="Tahoma" w:hAnsi="Tahoma" w:cs="Tahoma"/>
          <w:bCs/>
          <w:color w:val="0000FF"/>
          <w:lang w:val="es-ES"/>
        </w:rPr>
        <w:t>De acuerdo.</w:t>
      </w:r>
    </w:p>
    <w:p w14:paraId="1743F3EE" w14:textId="77777777" w:rsidR="00E07F56" w:rsidRPr="00D53EE9" w:rsidRDefault="00E07F56" w:rsidP="00E07F56">
      <w:pPr>
        <w:spacing w:after="0" w:line="240" w:lineRule="auto"/>
        <w:jc w:val="both"/>
        <w:rPr>
          <w:rFonts w:ascii="Tahoma" w:hAnsi="Tahoma" w:cs="Tahoma"/>
          <w:bCs/>
          <w:lang w:val="es-ES"/>
        </w:rPr>
      </w:pPr>
    </w:p>
    <w:p w14:paraId="24F1B712"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Convocatoria Ayuda Emergencia</w:t>
      </w:r>
    </w:p>
    <w:p w14:paraId="6808FD8F" w14:textId="77777777" w:rsidR="00E07F56" w:rsidRPr="00D53EE9"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Cs/>
          <w:lang w:val="es-ES"/>
        </w:rPr>
        <w:t xml:space="preserve">Se comenta que se ha quitado la experiencia y el monto mínimo para acceder a la convocatoria, pero se ha incluido que sea una ONGD Calificada por la AECID y/o contar con Acuerdo Marco de Asociación con la DG. ECHO (que son las mismas que exige AECID para acceder a la convocatoria de AH), es decir al final las exigencias para poder concurrir siguen siendo las mismas, orientadas a “especializadas y con mucho volumen. </w:t>
      </w:r>
    </w:p>
    <w:p w14:paraId="3BF456DA"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Es preocupante que no se haya realizado el gasto de todo el presupuesto de 2022, la convocatoria se cierra a 1 de diciembre y se concede conforme se van presentando, se plantea que se pueda tener la información de cuantos proyectos se van resolviendo por si existe capacidad de seguir presentando por existencia de fondos. (las resoluciones se cuelgan en la página web del GN así que son de fácil acceso). </w:t>
      </w:r>
    </w:p>
    <w:p w14:paraId="27B4C55C"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Medicus Mundi plantea una especificidad de su caso en relación con la posibilidad de presentarse a la convocatoria. Es una asociación integrada en una federación (con NIF distinto) y tanto la AECID como ECHO obligan a las federaciones a presentarse siempre como tales (no como asociación independiente). Y, por tanto, la calificación AECID y Acuerdo Marco ECHO viene a nombre de la Federación (no únicamente a nombre de Medicus Mundi NAM). Con la redacción actual Medicus Mundi NAM no podría presentarse a la convocatoria de Acción Humanitaria (aunque sí pueda a AECID y a ECHO). Medicus Mundi pide que se traslade al Gobierno de Navarra junto a todas las aportaciones, pero como solicitud de una ONGD individual, esta casuística para que se adapten las bases si lo consideran oportuno.</w:t>
      </w:r>
      <w:r>
        <w:rPr>
          <w:rFonts w:ascii="Tahoma" w:hAnsi="Tahoma" w:cs="Tahoma"/>
          <w:bCs/>
          <w:lang w:val="es-ES"/>
        </w:rPr>
        <w:t xml:space="preserve"> </w:t>
      </w:r>
      <w:r w:rsidRPr="001F12E2">
        <w:rPr>
          <w:rFonts w:ascii="Tahoma" w:hAnsi="Tahoma" w:cs="Tahoma"/>
          <w:bCs/>
          <w:color w:val="0000FF"/>
          <w:lang w:val="es-ES"/>
        </w:rPr>
        <w:t>E</w:t>
      </w:r>
      <w:r>
        <w:rPr>
          <w:rFonts w:ascii="Tahoma" w:hAnsi="Tahoma" w:cs="Tahoma"/>
          <w:bCs/>
          <w:color w:val="0000FF"/>
          <w:lang w:val="es-ES"/>
        </w:rPr>
        <w:t xml:space="preserve">ntienden que estaría recogido </w:t>
      </w:r>
      <w:r w:rsidRPr="001F12E2">
        <w:rPr>
          <w:rFonts w:ascii="Tahoma" w:hAnsi="Tahoma" w:cs="Tahoma"/>
          <w:bCs/>
          <w:color w:val="0000FF"/>
          <w:lang w:val="es-ES"/>
        </w:rPr>
        <w:t>en la redacción</w:t>
      </w:r>
      <w:r>
        <w:rPr>
          <w:rFonts w:ascii="Tahoma" w:hAnsi="Tahoma" w:cs="Tahoma"/>
          <w:bCs/>
          <w:color w:val="0000FF"/>
          <w:lang w:val="es-ES"/>
        </w:rPr>
        <w:t xml:space="preserve"> actual al requerirse que la calificación o FPA la tenga la entidad o “la agrupación de la que forme parte”. Ante la duda de si jurídico iba a hacer la misma interpretación se considera que entonces se podría hacer una presentación en agrupación Federación/Asociación en el territorio y con eso quedaría solucionado.</w:t>
      </w:r>
    </w:p>
    <w:p w14:paraId="5D041DEE" w14:textId="240F61F8" w:rsidR="00E07F56" w:rsidRPr="00137CC6"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Cs/>
          <w:lang w:val="es-ES"/>
        </w:rPr>
        <w:t xml:space="preserve">Vuelve a salir el debate sobre los criterios de presentación y el que no se reconozca que ser calificada no quiere decir ser especializada en emergencias y que hay contrapartes </w:t>
      </w:r>
      <w:r w:rsidRPr="00D53EE9">
        <w:rPr>
          <w:rFonts w:ascii="Tahoma" w:hAnsi="Tahoma" w:cs="Tahoma"/>
          <w:bCs/>
          <w:lang w:val="es-ES"/>
        </w:rPr>
        <w:lastRenderedPageBreak/>
        <w:t>que pueden solventar una emergencia en su zona tan bien como las calificadas y que eso no se tienen en cuenta a la hora de permitir presentarse a la convocatoria a ONGD no calificadas.</w:t>
      </w:r>
      <w:r>
        <w:rPr>
          <w:rFonts w:ascii="Tahoma" w:hAnsi="Tahoma" w:cs="Tahoma"/>
          <w:bCs/>
          <w:lang w:val="es-ES"/>
        </w:rPr>
        <w:t xml:space="preserve"> </w:t>
      </w:r>
      <w:r w:rsidRPr="00137CC6">
        <w:rPr>
          <w:rFonts w:ascii="Tahoma" w:hAnsi="Tahoma" w:cs="Tahoma"/>
          <w:bCs/>
          <w:color w:val="0000FF"/>
          <w:lang w:val="es-ES"/>
        </w:rPr>
        <w:t xml:space="preserve">Se vuelve a trasladar las dos sensibilidades existentes en la CONGDN (ya trasladadas en otras ocasiones, la última en </w:t>
      </w:r>
      <w:r>
        <w:rPr>
          <w:rFonts w:ascii="Tahoma" w:hAnsi="Tahoma" w:cs="Tahoma"/>
          <w:bCs/>
          <w:color w:val="0000FF"/>
          <w:lang w:val="es-ES"/>
        </w:rPr>
        <w:t xml:space="preserve">diciembre </w:t>
      </w:r>
      <w:r w:rsidR="00A5019E">
        <w:rPr>
          <w:rFonts w:ascii="Tahoma" w:hAnsi="Tahoma" w:cs="Tahoma"/>
          <w:bCs/>
          <w:color w:val="0000FF"/>
          <w:lang w:val="es-ES"/>
        </w:rPr>
        <w:t xml:space="preserve">de </w:t>
      </w:r>
      <w:r w:rsidR="00A5019E" w:rsidRPr="00137CC6">
        <w:rPr>
          <w:rFonts w:ascii="Tahoma" w:hAnsi="Tahoma" w:cs="Tahoma"/>
          <w:bCs/>
          <w:color w:val="0000FF"/>
          <w:lang w:val="es-ES"/>
        </w:rPr>
        <w:t>2022</w:t>
      </w:r>
      <w:r w:rsidRPr="00137CC6">
        <w:rPr>
          <w:rFonts w:ascii="Tahoma" w:hAnsi="Tahoma" w:cs="Tahoma"/>
          <w:bCs/>
          <w:color w:val="0000FF"/>
          <w:lang w:val="es-ES"/>
        </w:rPr>
        <w:t>)</w:t>
      </w:r>
    </w:p>
    <w:p w14:paraId="01FD268E" w14:textId="77777777" w:rsidR="00E07F56" w:rsidRPr="00D53EE9" w:rsidRDefault="00E07F56" w:rsidP="00E07F56">
      <w:pPr>
        <w:spacing w:after="0" w:line="240" w:lineRule="auto"/>
        <w:ind w:left="-426"/>
        <w:jc w:val="both"/>
        <w:rPr>
          <w:rFonts w:ascii="Tahoma" w:hAnsi="Tahoma" w:cs="Tahoma"/>
          <w:bCs/>
          <w:lang w:val="es-ES"/>
        </w:rPr>
      </w:pPr>
    </w:p>
    <w:p w14:paraId="67BCC90F" w14:textId="77777777" w:rsidR="00E07F56" w:rsidRPr="00D53EE9" w:rsidRDefault="00E07F56" w:rsidP="00E07F56">
      <w:pPr>
        <w:spacing w:after="0" w:line="240" w:lineRule="auto"/>
        <w:ind w:left="-426"/>
        <w:jc w:val="both"/>
        <w:rPr>
          <w:rFonts w:ascii="Tahoma" w:hAnsi="Tahoma" w:cs="Tahoma"/>
          <w:bCs/>
          <w:u w:val="single"/>
          <w:lang w:val="es-ES"/>
        </w:rPr>
      </w:pPr>
      <w:r w:rsidRPr="00D53EE9">
        <w:rPr>
          <w:rFonts w:ascii="Tahoma" w:hAnsi="Tahoma" w:cs="Tahoma"/>
          <w:bCs/>
          <w:u w:val="single"/>
          <w:lang w:val="es-ES"/>
        </w:rPr>
        <w:t>Convocatoria Cooperación Económica</w:t>
      </w:r>
    </w:p>
    <w:p w14:paraId="507A3C7C" w14:textId="77777777" w:rsidR="00E07F56" w:rsidRPr="00D53EE9" w:rsidRDefault="00E07F56" w:rsidP="00E07F56">
      <w:pPr>
        <w:spacing w:after="0" w:line="240" w:lineRule="auto"/>
        <w:ind w:left="-426"/>
        <w:jc w:val="both"/>
        <w:rPr>
          <w:rFonts w:ascii="Tahoma" w:hAnsi="Tahoma" w:cs="Tahoma"/>
          <w:bCs/>
          <w:lang w:val="es-ES"/>
        </w:rPr>
      </w:pPr>
      <w:r w:rsidRPr="00D53EE9">
        <w:rPr>
          <w:rFonts w:ascii="Tahoma" w:hAnsi="Tahoma" w:cs="Tahoma"/>
          <w:bCs/>
          <w:lang w:val="es-ES"/>
        </w:rPr>
        <w:t>Una cuestión de redacción, que los listados sigan el orden y no se salten letras etc.</w:t>
      </w:r>
    </w:p>
    <w:p w14:paraId="7C6F5170" w14:textId="77777777" w:rsidR="00E07F56"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Requisitos intervenciones: </w:t>
      </w:r>
      <w:r w:rsidRPr="00D53EE9">
        <w:rPr>
          <w:rFonts w:ascii="Tahoma" w:hAnsi="Tahoma" w:cs="Tahoma"/>
          <w:b/>
          <w:lang w:val="es-ES"/>
        </w:rPr>
        <w:t>Aclaración</w:t>
      </w:r>
      <w:r w:rsidRPr="00D53EE9">
        <w:rPr>
          <w:rFonts w:ascii="Tahoma" w:hAnsi="Tahoma" w:cs="Tahoma"/>
          <w:bCs/>
          <w:lang w:val="es-ES"/>
        </w:rPr>
        <w:t xml:space="preserve"> sobre “que no debe ser continuidad de otra intervención que ya cuente con presupuesto para el año de la convocatoria”. Entendemos que se refiere a Programas y las prórrogas. </w:t>
      </w:r>
    </w:p>
    <w:p w14:paraId="55942135" w14:textId="77777777" w:rsidR="00E07F56" w:rsidRPr="00137CC6" w:rsidRDefault="00E07F56" w:rsidP="00E07F56">
      <w:pPr>
        <w:spacing w:after="0" w:line="240" w:lineRule="auto"/>
        <w:jc w:val="both"/>
        <w:rPr>
          <w:rFonts w:ascii="Tahoma" w:hAnsi="Tahoma" w:cs="Tahoma"/>
          <w:bCs/>
          <w:color w:val="0000FF"/>
          <w:lang w:val="es-ES"/>
        </w:rPr>
      </w:pPr>
      <w:r w:rsidRPr="00137CC6">
        <w:rPr>
          <w:rFonts w:ascii="Tahoma" w:hAnsi="Tahoma" w:cs="Tahoma"/>
          <w:bCs/>
          <w:color w:val="0000FF"/>
          <w:lang w:val="es-ES"/>
        </w:rPr>
        <w:t>Se refiere a programas, pero a las intervenciones que indican que son continuidad de otras pero que aún no se han finalizado en el mismo territorio (haya prórroga o no). Un ejemplo sería un programa 2020 con prórroga de ejecución relevante</w:t>
      </w:r>
      <w:r>
        <w:rPr>
          <w:rFonts w:ascii="Tahoma" w:hAnsi="Tahoma" w:cs="Tahoma"/>
          <w:bCs/>
          <w:color w:val="0000FF"/>
          <w:lang w:val="es-ES"/>
        </w:rPr>
        <w:t>,</w:t>
      </w:r>
      <w:r w:rsidRPr="00137CC6">
        <w:rPr>
          <w:rFonts w:ascii="Tahoma" w:hAnsi="Tahoma" w:cs="Tahoma"/>
          <w:bCs/>
          <w:color w:val="0000FF"/>
          <w:lang w:val="es-ES"/>
        </w:rPr>
        <w:t xml:space="preserve"> o un programa 2021 que pidiera continuidad en la convocatoria 2023 (</w:t>
      </w:r>
      <w:r>
        <w:rPr>
          <w:rFonts w:ascii="Tahoma" w:hAnsi="Tahoma" w:cs="Tahoma"/>
          <w:bCs/>
          <w:color w:val="0000FF"/>
          <w:lang w:val="es-ES"/>
        </w:rPr>
        <w:t>aunque</w:t>
      </w:r>
      <w:r w:rsidRPr="00137CC6">
        <w:rPr>
          <w:rFonts w:ascii="Tahoma" w:hAnsi="Tahoma" w:cs="Tahoma"/>
          <w:bCs/>
          <w:color w:val="0000FF"/>
          <w:lang w:val="es-ES"/>
        </w:rPr>
        <w:t xml:space="preserve"> en ambos casos estuviera </w:t>
      </w:r>
      <w:r>
        <w:rPr>
          <w:rFonts w:ascii="Tahoma" w:hAnsi="Tahoma" w:cs="Tahoma"/>
          <w:bCs/>
          <w:color w:val="0000FF"/>
          <w:lang w:val="es-ES"/>
        </w:rPr>
        <w:t>el anterior en ejecución</w:t>
      </w:r>
      <w:r w:rsidRPr="00137CC6">
        <w:rPr>
          <w:rFonts w:ascii="Tahoma" w:hAnsi="Tahoma" w:cs="Tahoma"/>
          <w:bCs/>
          <w:color w:val="0000FF"/>
          <w:lang w:val="es-ES"/>
        </w:rPr>
        <w:t xml:space="preserve">). Se trata de evitar que haya un solapamiento importante que luego derive en prórrogas del programa de continuación al no haberse acabado ni siquiera el anterior. Sin embargo, dado que </w:t>
      </w:r>
      <w:r>
        <w:rPr>
          <w:rFonts w:ascii="Tahoma" w:hAnsi="Tahoma" w:cs="Tahoma"/>
          <w:bCs/>
          <w:color w:val="0000FF"/>
          <w:lang w:val="es-ES"/>
        </w:rPr>
        <w:t xml:space="preserve">no está clara la repercusión en otras intervenciones le darán una vuelta a futuro y, previsiblemente, se quitará de estas bases. </w:t>
      </w:r>
    </w:p>
    <w:p w14:paraId="2ECAE145" w14:textId="77777777" w:rsidR="00E07F56"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Presentación de solicitudes:</w:t>
      </w:r>
      <w:r w:rsidRPr="00D53EE9">
        <w:rPr>
          <w:rFonts w:ascii="Tahoma" w:hAnsi="Tahoma" w:cs="Tahoma"/>
          <w:b/>
          <w:lang w:val="es-ES"/>
        </w:rPr>
        <w:t xml:space="preserve"> Aclaración</w:t>
      </w:r>
      <w:r w:rsidRPr="00D53EE9">
        <w:rPr>
          <w:rFonts w:ascii="Tahoma" w:hAnsi="Tahoma" w:cs="Tahoma"/>
          <w:bCs/>
          <w:lang w:val="es-ES"/>
        </w:rPr>
        <w:t xml:space="preserve">. “Cada Entidad Solicitante podrá presentar tres solicitudes </w:t>
      </w:r>
      <w:r w:rsidRPr="00D53EE9">
        <w:rPr>
          <w:rFonts w:ascii="Tahoma" w:hAnsi="Tahoma" w:cs="Tahoma"/>
          <w:b/>
          <w:lang w:val="es-ES"/>
        </w:rPr>
        <w:t>por cada una</w:t>
      </w:r>
      <w:r w:rsidRPr="00D53EE9">
        <w:rPr>
          <w:rFonts w:ascii="Tahoma" w:hAnsi="Tahoma" w:cs="Tahoma"/>
          <w:bCs/>
          <w:lang w:val="es-ES"/>
        </w:rPr>
        <w:t xml:space="preserve"> de las modalidades A), B) y C)”. Interpretamos que es tres en total, pero crea bastante confusión “podrá presentar tres solicitudes por cada modalidad”, parece que puedes presentar 3 a programa, 3 a proyectos y 3 a microacciones (con las salvedades que vienen a continuación del documento. </w:t>
      </w:r>
    </w:p>
    <w:p w14:paraId="3830E6F0" w14:textId="77777777" w:rsidR="00E07F56" w:rsidRPr="00D53EE9" w:rsidRDefault="00E07F56" w:rsidP="00E07F56">
      <w:pPr>
        <w:spacing w:after="0" w:line="240" w:lineRule="auto"/>
        <w:jc w:val="both"/>
        <w:rPr>
          <w:rFonts w:ascii="Tahoma" w:hAnsi="Tahoma" w:cs="Tahoma"/>
          <w:bCs/>
          <w:lang w:val="es-ES"/>
        </w:rPr>
      </w:pPr>
      <w:r w:rsidRPr="00D53EE9">
        <w:rPr>
          <w:rFonts w:ascii="Tahoma" w:hAnsi="Tahoma" w:cs="Tahoma"/>
          <w:bCs/>
          <w:lang w:val="es-ES"/>
        </w:rPr>
        <w:t>En el cuadro de distribución llama modalidad a cada uno de los “sectores”, cooperación    económica, EpD etc. pero en las bases hace referencia a instrumentos.</w:t>
      </w:r>
    </w:p>
    <w:p w14:paraId="47185AFB" w14:textId="408ECE75" w:rsidR="00E07F56" w:rsidRPr="00D53EE9" w:rsidRDefault="00E07F56" w:rsidP="00E07F56">
      <w:pPr>
        <w:spacing w:after="0" w:line="240" w:lineRule="auto"/>
        <w:jc w:val="both"/>
        <w:rPr>
          <w:rFonts w:ascii="Tahoma" w:hAnsi="Tahoma" w:cs="Tahoma"/>
          <w:bCs/>
          <w:lang w:val="es-ES"/>
        </w:rPr>
      </w:pPr>
      <w:r>
        <w:rPr>
          <w:rFonts w:ascii="Tahoma" w:hAnsi="Tahoma" w:cs="Tahoma"/>
          <w:bCs/>
          <w:color w:val="0000FF"/>
          <w:lang w:val="es-ES"/>
        </w:rPr>
        <w:t xml:space="preserve">La redacción de las bases era correcta (la idea que se tenía era que se pudieran presentar, por ejemplo, 3 programas y 3 proyectos, salvo las limitaciones existentes en el número de programas vivos y programas/microacciones). En el cuadro Excel querían haber reflejado esto </w:t>
      </w:r>
      <w:proofErr w:type="gramStart"/>
      <w:r>
        <w:rPr>
          <w:rFonts w:ascii="Tahoma" w:hAnsi="Tahoma" w:cs="Tahoma"/>
          <w:bCs/>
          <w:color w:val="0000FF"/>
          <w:lang w:val="es-ES"/>
        </w:rPr>
        <w:t>mismo</w:t>
      </w:r>
      <w:proofErr w:type="gramEnd"/>
      <w:r>
        <w:rPr>
          <w:rFonts w:ascii="Tahoma" w:hAnsi="Tahoma" w:cs="Tahoma"/>
          <w:bCs/>
          <w:color w:val="0000FF"/>
          <w:lang w:val="es-ES"/>
        </w:rPr>
        <w:t xml:space="preserve"> pero no fue así al haber una confusión en el uso de “modalidades” e “instrumentos”. </w:t>
      </w:r>
      <w:r w:rsidR="00BE4625" w:rsidRPr="00BE4625">
        <w:rPr>
          <w:rFonts w:ascii="Tahoma" w:hAnsi="Tahoma" w:cs="Tahoma"/>
          <w:bCs/>
          <w:color w:val="0000FF"/>
          <w:lang w:val="es-ES"/>
        </w:rPr>
        <w:t>Como en la Comisión IP se trabajó inicialmente (cuando llegó el cuadro de distribución presupuestaria por instrumento) sobre la idea de 3 propuestas en la modalidad (que incluye programas/proyectos/microacciones) se entiende que eso es lo acordado y lo que las bases deberían reflejar, por lo que se pide que las bases se reconduzcan a ello.</w:t>
      </w:r>
      <w:r w:rsidR="00BE4625">
        <w:rPr>
          <w:rFonts w:ascii="Tahoma" w:hAnsi="Tahoma" w:cs="Tahoma"/>
          <w:bCs/>
          <w:color w:val="0000FF"/>
          <w:lang w:val="es-ES"/>
        </w:rPr>
        <w:t xml:space="preserve"> </w:t>
      </w:r>
      <w:r>
        <w:rPr>
          <w:rFonts w:ascii="Tahoma" w:hAnsi="Tahoma" w:cs="Tahoma"/>
          <w:bCs/>
          <w:color w:val="0000FF"/>
          <w:lang w:val="es-ES"/>
        </w:rPr>
        <w:t xml:space="preserve">Esto aligera, a su vez, el posible colapso de la sección si cada entidad podía presentar todas esas propuestas). </w:t>
      </w:r>
    </w:p>
    <w:p w14:paraId="0C672834" w14:textId="77777777" w:rsidR="00E07F56" w:rsidRPr="00D53EE9"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 xml:space="preserve">Se han cambiado las puntuaciones de los criterios de valoración una vez desparecidos criterios sobre </w:t>
      </w:r>
      <w:proofErr w:type="spellStart"/>
      <w:r w:rsidRPr="00D53EE9">
        <w:rPr>
          <w:rFonts w:ascii="Tahoma" w:hAnsi="Tahoma" w:cs="Tahoma"/>
          <w:bCs/>
          <w:lang w:val="es-ES"/>
        </w:rPr>
        <w:t>Covid</w:t>
      </w:r>
      <w:proofErr w:type="spellEnd"/>
      <w:r w:rsidRPr="00D53EE9">
        <w:rPr>
          <w:rFonts w:ascii="Tahoma" w:hAnsi="Tahoma" w:cs="Tahoma"/>
          <w:bCs/>
          <w:lang w:val="es-ES"/>
        </w:rPr>
        <w:t>.</w:t>
      </w:r>
    </w:p>
    <w:p w14:paraId="6C7DFE46" w14:textId="77777777" w:rsidR="00E07F56" w:rsidRPr="00F73E7B" w:rsidRDefault="00E07F56" w:rsidP="00E07F56">
      <w:pPr>
        <w:numPr>
          <w:ilvl w:val="0"/>
          <w:numId w:val="1"/>
        </w:numPr>
        <w:spacing w:after="0" w:line="240" w:lineRule="auto"/>
        <w:ind w:left="0"/>
        <w:jc w:val="both"/>
        <w:rPr>
          <w:rFonts w:ascii="Tahoma" w:hAnsi="Tahoma" w:cs="Tahoma"/>
          <w:bCs/>
          <w:color w:val="0000FF"/>
          <w:lang w:val="es-ES"/>
        </w:rPr>
      </w:pPr>
      <w:r w:rsidRPr="00D53EE9">
        <w:rPr>
          <w:rFonts w:ascii="Tahoma" w:hAnsi="Tahoma" w:cs="Tahoma"/>
          <w:b/>
          <w:lang w:val="es-ES"/>
        </w:rPr>
        <w:t>Aclaración:</w:t>
      </w:r>
      <w:r w:rsidRPr="00D53EE9">
        <w:rPr>
          <w:rFonts w:ascii="Tahoma" w:hAnsi="Tahoma" w:cs="Tahoma"/>
          <w:bCs/>
          <w:lang w:val="es-ES"/>
        </w:rPr>
        <w:t xml:space="preserve"> Hay dudas si en el 1% de identificación de programas se refiere únicamente a gastos en terreno. Se propone que se puedan meter en gastos directos el personal en sede que realiza la identificación. </w:t>
      </w:r>
      <w:r w:rsidRPr="00F73E7B">
        <w:rPr>
          <w:rFonts w:ascii="Tahoma" w:hAnsi="Tahoma" w:cs="Tahoma"/>
          <w:bCs/>
          <w:color w:val="0000FF"/>
          <w:lang w:val="es-ES"/>
        </w:rPr>
        <w:t>Se traslada y lo revisarán con calma (al no afectar a bases</w:t>
      </w:r>
      <w:r>
        <w:rPr>
          <w:rFonts w:ascii="Tahoma" w:hAnsi="Tahoma" w:cs="Tahoma"/>
          <w:bCs/>
          <w:color w:val="0000FF"/>
          <w:lang w:val="es-ES"/>
        </w:rPr>
        <w:t xml:space="preserve"> que es lo que nos ocupa ahora). </w:t>
      </w:r>
    </w:p>
    <w:p w14:paraId="3890A3CA" w14:textId="77777777" w:rsidR="00E07F56" w:rsidRPr="00F73E7B" w:rsidRDefault="00E07F56" w:rsidP="00E07F56">
      <w:pPr>
        <w:numPr>
          <w:ilvl w:val="0"/>
          <w:numId w:val="1"/>
        </w:numPr>
        <w:spacing w:after="0" w:line="240" w:lineRule="auto"/>
        <w:ind w:left="0"/>
        <w:jc w:val="both"/>
        <w:rPr>
          <w:rFonts w:ascii="Tahoma" w:hAnsi="Tahoma" w:cs="Tahoma"/>
          <w:bCs/>
          <w:lang w:val="es-ES"/>
        </w:rPr>
      </w:pPr>
      <w:r w:rsidRPr="00D53EE9">
        <w:rPr>
          <w:rFonts w:ascii="Tahoma" w:hAnsi="Tahoma" w:cs="Tahoma"/>
          <w:bCs/>
          <w:lang w:val="es-ES"/>
        </w:rPr>
        <w:t>Se pide que se revise el plazo de presentación (pasando de 15 días hábiles a 20), aunque ya se ha hecho en numerosas ocasiones (y la respuesta siempre ha sido que las bases y las fechas de convocatoria se anticipan todo lo posible para que las organizaciones se planifiquen)</w:t>
      </w:r>
      <w:r>
        <w:rPr>
          <w:rFonts w:ascii="Tahoma" w:hAnsi="Tahoma" w:cs="Tahoma"/>
          <w:bCs/>
          <w:lang w:val="es-ES"/>
        </w:rPr>
        <w:t xml:space="preserve">. </w:t>
      </w:r>
      <w:r w:rsidRPr="00F73E7B">
        <w:rPr>
          <w:rFonts w:ascii="Tahoma" w:hAnsi="Tahoma" w:cs="Tahoma"/>
          <w:bCs/>
          <w:color w:val="0000FF"/>
          <w:lang w:val="es-ES"/>
        </w:rPr>
        <w:t xml:space="preserve">Se acepta para el caso de Cooperación Económica y de forma puntual (en atención a que este año hay un mayor número de programas posibles y la formulación suele llevar más tiempo). Pero no se descarta que a futuro vuelva a los 15 días. Para EpD quedan los 15 días. Pero se hace hincapié que eso, en definitiva, implica un retraso análogo en la resolución. </w:t>
      </w:r>
    </w:p>
    <w:p w14:paraId="1FE846A4" w14:textId="7D2E207C" w:rsidR="00E07F56" w:rsidRDefault="00E07F56" w:rsidP="00E07F56">
      <w:pPr>
        <w:spacing w:after="0" w:line="240" w:lineRule="auto"/>
        <w:jc w:val="both"/>
        <w:rPr>
          <w:rFonts w:ascii="Tahoma" w:hAnsi="Tahoma" w:cs="Tahoma"/>
          <w:bCs/>
          <w:lang w:val="es-ES"/>
        </w:rPr>
      </w:pPr>
    </w:p>
    <w:p w14:paraId="6DA13A7E" w14:textId="5D4DE0F1" w:rsidR="00A5019E" w:rsidRDefault="00A5019E" w:rsidP="00E07F56">
      <w:pPr>
        <w:spacing w:after="0" w:line="240" w:lineRule="auto"/>
        <w:jc w:val="both"/>
        <w:rPr>
          <w:rFonts w:ascii="Tahoma" w:hAnsi="Tahoma" w:cs="Tahoma"/>
          <w:bCs/>
          <w:lang w:val="es-ES"/>
        </w:rPr>
      </w:pPr>
    </w:p>
    <w:p w14:paraId="0FBB706B" w14:textId="77777777" w:rsidR="00A5019E" w:rsidRDefault="00A5019E" w:rsidP="00E07F56">
      <w:pPr>
        <w:spacing w:after="0" w:line="240" w:lineRule="auto"/>
        <w:jc w:val="both"/>
        <w:rPr>
          <w:rFonts w:ascii="Tahoma" w:hAnsi="Tahoma" w:cs="Tahoma"/>
          <w:bCs/>
          <w:lang w:val="es-ES"/>
        </w:rPr>
      </w:pPr>
    </w:p>
    <w:p w14:paraId="2CEAB548" w14:textId="77777777" w:rsidR="00E07F56" w:rsidRPr="00F73E7B" w:rsidRDefault="00E07F56" w:rsidP="00E07F56">
      <w:pPr>
        <w:spacing w:after="0" w:line="240" w:lineRule="auto"/>
        <w:jc w:val="both"/>
        <w:rPr>
          <w:rFonts w:ascii="Tahoma" w:hAnsi="Tahoma" w:cs="Tahoma"/>
          <w:bCs/>
          <w:color w:val="0000FF"/>
          <w:lang w:val="es-ES"/>
        </w:rPr>
      </w:pPr>
      <w:r w:rsidRPr="00F73E7B">
        <w:rPr>
          <w:rFonts w:ascii="Tahoma" w:hAnsi="Tahoma" w:cs="Tahoma"/>
          <w:bCs/>
          <w:color w:val="0000FF"/>
          <w:lang w:val="es-ES"/>
        </w:rPr>
        <w:lastRenderedPageBreak/>
        <w:t>Se comenta por parte de GN</w:t>
      </w:r>
    </w:p>
    <w:p w14:paraId="43394B5F" w14:textId="77777777" w:rsidR="00E07F56" w:rsidRDefault="00E07F56" w:rsidP="00E07F56">
      <w:pPr>
        <w:numPr>
          <w:ilvl w:val="0"/>
          <w:numId w:val="1"/>
        </w:numPr>
        <w:spacing w:after="0" w:line="240" w:lineRule="auto"/>
        <w:jc w:val="both"/>
        <w:rPr>
          <w:rFonts w:ascii="Tahoma" w:hAnsi="Tahoma" w:cs="Tahoma"/>
          <w:bCs/>
          <w:color w:val="0000FF"/>
          <w:lang w:val="es-ES"/>
        </w:rPr>
      </w:pPr>
      <w:r>
        <w:rPr>
          <w:rFonts w:ascii="Tahoma" w:hAnsi="Tahoma" w:cs="Tahoma"/>
          <w:bCs/>
          <w:color w:val="0000FF"/>
          <w:lang w:val="es-ES"/>
        </w:rPr>
        <w:t>Sobre las bases de programas</w:t>
      </w:r>
      <w:r w:rsidRPr="00F73E7B">
        <w:rPr>
          <w:rFonts w:ascii="Tahoma" w:hAnsi="Tahoma" w:cs="Tahoma"/>
          <w:bCs/>
          <w:color w:val="0000FF"/>
          <w:lang w:val="es-ES"/>
        </w:rPr>
        <w:t xml:space="preserve">: si se presenta una propuesta </w:t>
      </w:r>
      <w:proofErr w:type="spellStart"/>
      <w:r w:rsidRPr="00F73E7B">
        <w:rPr>
          <w:rFonts w:ascii="Tahoma" w:hAnsi="Tahoma" w:cs="Tahoma"/>
          <w:bCs/>
          <w:color w:val="0000FF"/>
          <w:lang w:val="es-ES"/>
        </w:rPr>
        <w:t>multipaís</w:t>
      </w:r>
      <w:proofErr w:type="spellEnd"/>
      <w:r w:rsidRPr="00F73E7B">
        <w:rPr>
          <w:rFonts w:ascii="Tahoma" w:hAnsi="Tahoma" w:cs="Tahoma"/>
          <w:bCs/>
          <w:color w:val="0000FF"/>
          <w:lang w:val="es-ES"/>
        </w:rPr>
        <w:t xml:space="preserve"> </w:t>
      </w:r>
      <w:r w:rsidRPr="00F73E7B">
        <w:rPr>
          <w:rFonts w:ascii="Tahoma" w:hAnsi="Tahoma" w:cs="Tahoma"/>
          <w:bCs/>
          <w:color w:val="0000FF"/>
          <w:u w:val="single"/>
          <w:lang w:val="es-ES"/>
        </w:rPr>
        <w:t>al menos uno</w:t>
      </w:r>
      <w:r w:rsidRPr="00F73E7B">
        <w:rPr>
          <w:rFonts w:ascii="Tahoma" w:hAnsi="Tahoma" w:cs="Tahoma"/>
          <w:bCs/>
          <w:color w:val="0000FF"/>
          <w:lang w:val="es-ES"/>
        </w:rPr>
        <w:t xml:space="preserve"> de los países debe ser de los priorizados (pero no tienen que serlos todos); si se presenta una propuesta multirregión dentro de un país que tenga determinadas regiones priorizadas, </w:t>
      </w:r>
      <w:r w:rsidRPr="00F73E7B">
        <w:rPr>
          <w:rFonts w:ascii="Tahoma" w:hAnsi="Tahoma" w:cs="Tahoma"/>
          <w:bCs/>
          <w:color w:val="0000FF"/>
          <w:u w:val="single"/>
          <w:lang w:val="es-ES"/>
        </w:rPr>
        <w:t xml:space="preserve">todas las regiones </w:t>
      </w:r>
      <w:r w:rsidRPr="00F73E7B">
        <w:rPr>
          <w:rFonts w:ascii="Tahoma" w:hAnsi="Tahoma" w:cs="Tahoma"/>
          <w:bCs/>
          <w:color w:val="0000FF"/>
          <w:lang w:val="es-ES"/>
        </w:rPr>
        <w:t xml:space="preserve">deben ser de las priorizadas </w:t>
      </w:r>
    </w:p>
    <w:p w14:paraId="080D488B" w14:textId="77777777" w:rsidR="00E07F56" w:rsidRDefault="00E07F56" w:rsidP="00E07F56">
      <w:pPr>
        <w:numPr>
          <w:ilvl w:val="0"/>
          <w:numId w:val="1"/>
        </w:numPr>
        <w:spacing w:after="0" w:line="240" w:lineRule="auto"/>
        <w:jc w:val="both"/>
        <w:rPr>
          <w:rFonts w:ascii="Tahoma" w:hAnsi="Tahoma" w:cs="Tahoma"/>
          <w:bCs/>
          <w:color w:val="0000FF"/>
          <w:lang w:val="es-ES"/>
        </w:rPr>
      </w:pPr>
      <w:r>
        <w:rPr>
          <w:rFonts w:ascii="Tahoma" w:hAnsi="Tahoma" w:cs="Tahoma"/>
          <w:bCs/>
          <w:color w:val="0000FF"/>
          <w:lang w:val="es-ES"/>
        </w:rPr>
        <w:t xml:space="preserve">Sobre otros temas: </w:t>
      </w:r>
    </w:p>
    <w:p w14:paraId="00A4A57C" w14:textId="77777777" w:rsidR="00E07F56"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Comienza ahora la consultoría para analizar la posibilidad de Agencia de Cooperación</w:t>
      </w:r>
    </w:p>
    <w:p w14:paraId="476D473C" w14:textId="77777777" w:rsidR="00E07F56"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Quieren hacer una presentación de los manuales de transversalización (previsiblemente en febrero)</w:t>
      </w:r>
    </w:p>
    <w:p w14:paraId="4652A3B0" w14:textId="77777777" w:rsidR="00E07F56" w:rsidRPr="00F73E7B" w:rsidRDefault="00E07F56" w:rsidP="00E07F56">
      <w:pPr>
        <w:numPr>
          <w:ilvl w:val="1"/>
          <w:numId w:val="1"/>
        </w:numPr>
        <w:spacing w:after="0" w:line="240" w:lineRule="auto"/>
        <w:jc w:val="both"/>
        <w:rPr>
          <w:rFonts w:ascii="Tahoma" w:hAnsi="Tahoma" w:cs="Tahoma"/>
          <w:bCs/>
          <w:color w:val="0000FF"/>
          <w:lang w:val="es-ES"/>
        </w:rPr>
      </w:pPr>
      <w:r>
        <w:rPr>
          <w:rFonts w:ascii="Tahoma" w:hAnsi="Tahoma" w:cs="Tahoma"/>
          <w:bCs/>
          <w:color w:val="0000FF"/>
          <w:lang w:val="es-ES"/>
        </w:rPr>
        <w:t>Mantienen la intención de sacar las convocatorias lo antes posible y siempre antes de las elecciones</w:t>
      </w:r>
    </w:p>
    <w:p w14:paraId="6B5E628A" w14:textId="77777777" w:rsidR="00E07F56" w:rsidRPr="00D53EE9" w:rsidRDefault="00E07F56" w:rsidP="00E07F56">
      <w:pPr>
        <w:spacing w:after="0" w:line="240" w:lineRule="auto"/>
        <w:jc w:val="both"/>
        <w:rPr>
          <w:rFonts w:ascii="Tahoma" w:hAnsi="Tahoma" w:cs="Tahoma"/>
          <w:bCs/>
          <w:lang w:val="es-ES"/>
        </w:rPr>
      </w:pPr>
    </w:p>
    <w:p w14:paraId="1CC926C0" w14:textId="77777777" w:rsidR="002767E3" w:rsidRDefault="002767E3"/>
    <w:sectPr w:rsidR="002767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62E"/>
    <w:multiLevelType w:val="hybridMultilevel"/>
    <w:tmpl w:val="12CC9AD2"/>
    <w:lvl w:ilvl="0" w:tplc="822C4562">
      <w:numFmt w:val="bullet"/>
      <w:lvlText w:val="-"/>
      <w:lvlJc w:val="left"/>
      <w:pPr>
        <w:ind w:left="76" w:hanging="360"/>
      </w:pPr>
      <w:rPr>
        <w:rFonts w:ascii="Tahoma" w:eastAsia="Calibri" w:hAnsi="Tahoma" w:cs="Tahoma" w:hint="default"/>
      </w:rPr>
    </w:lvl>
    <w:lvl w:ilvl="1" w:tplc="0C0A0003">
      <w:start w:val="1"/>
      <w:numFmt w:val="bullet"/>
      <w:lvlText w:val="o"/>
      <w:lvlJc w:val="left"/>
      <w:pPr>
        <w:ind w:left="796" w:hanging="360"/>
      </w:pPr>
      <w:rPr>
        <w:rFonts w:ascii="Courier New" w:hAnsi="Courier New" w:cs="Courier New" w:hint="default"/>
      </w:rPr>
    </w:lvl>
    <w:lvl w:ilvl="2" w:tplc="0C0A0005" w:tentative="1">
      <w:start w:val="1"/>
      <w:numFmt w:val="bullet"/>
      <w:lvlText w:val=""/>
      <w:lvlJc w:val="left"/>
      <w:pPr>
        <w:ind w:left="1516" w:hanging="360"/>
      </w:pPr>
      <w:rPr>
        <w:rFonts w:ascii="Wingdings" w:hAnsi="Wingdings" w:hint="default"/>
      </w:rPr>
    </w:lvl>
    <w:lvl w:ilvl="3" w:tplc="0C0A0001" w:tentative="1">
      <w:start w:val="1"/>
      <w:numFmt w:val="bullet"/>
      <w:lvlText w:val=""/>
      <w:lvlJc w:val="left"/>
      <w:pPr>
        <w:ind w:left="2236" w:hanging="360"/>
      </w:pPr>
      <w:rPr>
        <w:rFonts w:ascii="Symbol" w:hAnsi="Symbol" w:hint="default"/>
      </w:rPr>
    </w:lvl>
    <w:lvl w:ilvl="4" w:tplc="0C0A0003" w:tentative="1">
      <w:start w:val="1"/>
      <w:numFmt w:val="bullet"/>
      <w:lvlText w:val="o"/>
      <w:lvlJc w:val="left"/>
      <w:pPr>
        <w:ind w:left="2956" w:hanging="360"/>
      </w:pPr>
      <w:rPr>
        <w:rFonts w:ascii="Courier New" w:hAnsi="Courier New" w:cs="Courier New" w:hint="default"/>
      </w:rPr>
    </w:lvl>
    <w:lvl w:ilvl="5" w:tplc="0C0A0005" w:tentative="1">
      <w:start w:val="1"/>
      <w:numFmt w:val="bullet"/>
      <w:lvlText w:val=""/>
      <w:lvlJc w:val="left"/>
      <w:pPr>
        <w:ind w:left="3676" w:hanging="360"/>
      </w:pPr>
      <w:rPr>
        <w:rFonts w:ascii="Wingdings" w:hAnsi="Wingdings" w:hint="default"/>
      </w:rPr>
    </w:lvl>
    <w:lvl w:ilvl="6" w:tplc="0C0A0001" w:tentative="1">
      <w:start w:val="1"/>
      <w:numFmt w:val="bullet"/>
      <w:lvlText w:val=""/>
      <w:lvlJc w:val="left"/>
      <w:pPr>
        <w:ind w:left="4396" w:hanging="360"/>
      </w:pPr>
      <w:rPr>
        <w:rFonts w:ascii="Symbol" w:hAnsi="Symbol" w:hint="default"/>
      </w:rPr>
    </w:lvl>
    <w:lvl w:ilvl="7" w:tplc="0C0A0003" w:tentative="1">
      <w:start w:val="1"/>
      <w:numFmt w:val="bullet"/>
      <w:lvlText w:val="o"/>
      <w:lvlJc w:val="left"/>
      <w:pPr>
        <w:ind w:left="5116" w:hanging="360"/>
      </w:pPr>
      <w:rPr>
        <w:rFonts w:ascii="Courier New" w:hAnsi="Courier New" w:cs="Courier New" w:hint="default"/>
      </w:rPr>
    </w:lvl>
    <w:lvl w:ilvl="8" w:tplc="0C0A0005" w:tentative="1">
      <w:start w:val="1"/>
      <w:numFmt w:val="bullet"/>
      <w:lvlText w:val=""/>
      <w:lvlJc w:val="left"/>
      <w:pPr>
        <w:ind w:left="5836" w:hanging="360"/>
      </w:pPr>
      <w:rPr>
        <w:rFonts w:ascii="Wingdings" w:hAnsi="Wingdings" w:hint="default"/>
      </w:rPr>
    </w:lvl>
  </w:abstractNum>
  <w:num w:numId="1" w16cid:durableId="51944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56"/>
    <w:rsid w:val="002767E3"/>
    <w:rsid w:val="00432CC1"/>
    <w:rsid w:val="00780D9B"/>
    <w:rsid w:val="00A5019E"/>
    <w:rsid w:val="00BE4625"/>
    <w:rsid w:val="00E07F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EF6D"/>
  <w15:chartTrackingRefBased/>
  <w15:docId w15:val="{8F817592-20B9-42FA-80DC-83DD7B7A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F56"/>
    <w:pPr>
      <w:spacing w:after="200" w:line="276" w:lineRule="auto"/>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1255</Words>
  <Characters>6908</Characters>
  <Application>Microsoft Office Word</Application>
  <DocSecurity>0</DocSecurity>
  <Lines>57</Lines>
  <Paragraphs>16</Paragraphs>
  <ScaleCrop>false</ScaleCrop>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de Paz</dc:creator>
  <cp:keywords/>
  <dc:description/>
  <cp:lastModifiedBy>Mariaje Huici</cp:lastModifiedBy>
  <cp:revision>5</cp:revision>
  <dcterms:created xsi:type="dcterms:W3CDTF">2023-01-17T07:09:00Z</dcterms:created>
  <dcterms:modified xsi:type="dcterms:W3CDTF">2023-01-20T07:47:00Z</dcterms:modified>
</cp:coreProperties>
</file>