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A9" w:rsidRPr="007B6984" w:rsidRDefault="00153517" w:rsidP="00153517">
      <w:pPr>
        <w:spacing w:line="360" w:lineRule="auto"/>
        <w:jc w:val="center"/>
        <w:rPr>
          <w:rFonts w:asciiTheme="minorHAnsi" w:hAnsiTheme="minorHAnsi" w:cstheme="minorHAnsi"/>
          <w:sz w:val="28"/>
          <w:szCs w:val="24"/>
          <w:lang w:val="eu-ES" w:eastAsia="es-ES"/>
        </w:rPr>
      </w:pPr>
      <w:r w:rsidRPr="00432E9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86BBF2" wp14:editId="13E51BF7">
            <wp:simplePos x="0" y="0"/>
            <wp:positionH relativeFrom="column">
              <wp:posOffset>5715</wp:posOffset>
            </wp:positionH>
            <wp:positionV relativeFrom="paragraph">
              <wp:posOffset>-4445</wp:posOffset>
            </wp:positionV>
            <wp:extent cx="5222875" cy="1984150"/>
            <wp:effectExtent l="0" t="0" r="0" b="0"/>
            <wp:wrapSquare wrapText="bothSides"/>
            <wp:docPr id="1" name="Imagen 1" descr="D:\Users\usuario\Desktop\campaña ca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uario\Desktop\campaña cas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19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FD8" w:rsidRPr="007B6984">
        <w:rPr>
          <w:rFonts w:asciiTheme="minorHAnsi" w:hAnsiTheme="minorHAnsi" w:cstheme="minorHAnsi"/>
          <w:sz w:val="24"/>
          <w:szCs w:val="24"/>
          <w:lang w:val="eu-ES" w:eastAsia="es-ES"/>
        </w:rPr>
        <w:tab/>
      </w:r>
    </w:p>
    <w:p w:rsidR="005E22A9" w:rsidRPr="007B6984" w:rsidRDefault="00153517" w:rsidP="007B698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4"/>
          <w:lang w:val="eu-ES" w:eastAsia="ar-SA"/>
        </w:rPr>
      </w:pPr>
      <w:r w:rsidRPr="007B6984">
        <w:rPr>
          <w:rFonts w:asciiTheme="minorHAnsi" w:hAnsiTheme="minorHAnsi" w:cstheme="minorHAnsi"/>
          <w:b/>
          <w:bCs/>
          <w:sz w:val="28"/>
          <w:szCs w:val="24"/>
          <w:lang w:val="eu-ES"/>
        </w:rPr>
        <w:t xml:space="preserve"> </w:t>
      </w:r>
      <w:r w:rsidR="005E22A9" w:rsidRPr="007B6984">
        <w:rPr>
          <w:rFonts w:asciiTheme="minorHAnsi" w:hAnsiTheme="minorHAnsi" w:cstheme="minorHAnsi"/>
          <w:b/>
          <w:bCs/>
          <w:sz w:val="28"/>
          <w:szCs w:val="24"/>
          <w:lang w:val="eu-ES"/>
        </w:rPr>
        <w:t>“</w:t>
      </w:r>
      <w:r w:rsidR="00C82CA7">
        <w:rPr>
          <w:rFonts w:asciiTheme="minorHAnsi" w:hAnsiTheme="minorHAnsi" w:cstheme="minorHAnsi"/>
          <w:b/>
          <w:bCs/>
          <w:sz w:val="28"/>
          <w:szCs w:val="24"/>
          <w:lang w:val="eu-ES"/>
        </w:rPr>
        <w:t>EZ UTZI BIHARKO GAUR MARKATU DEZAKEZUNA</w:t>
      </w:r>
      <w:r w:rsidR="0062493C" w:rsidRPr="007B6984">
        <w:rPr>
          <w:rFonts w:asciiTheme="minorHAnsi" w:hAnsiTheme="minorHAnsi" w:cstheme="minorHAnsi"/>
          <w:b/>
          <w:bCs/>
          <w:sz w:val="28"/>
          <w:szCs w:val="24"/>
          <w:lang w:val="eu-ES"/>
        </w:rPr>
        <w:t xml:space="preserve">” </w:t>
      </w:r>
      <w:r w:rsidR="005E22A9" w:rsidRPr="007B6984">
        <w:rPr>
          <w:rFonts w:asciiTheme="minorHAnsi" w:hAnsiTheme="minorHAnsi" w:cstheme="minorHAnsi"/>
          <w:b/>
          <w:bCs/>
          <w:sz w:val="28"/>
          <w:szCs w:val="24"/>
          <w:lang w:val="eu-ES"/>
        </w:rPr>
        <w:t>Kanpaina</w:t>
      </w:r>
      <w:r w:rsidR="005E0442" w:rsidRPr="007B6984">
        <w:rPr>
          <w:rFonts w:asciiTheme="minorHAnsi" w:hAnsiTheme="minorHAnsi" w:cstheme="minorHAnsi"/>
          <w:b/>
          <w:bCs/>
          <w:sz w:val="28"/>
          <w:szCs w:val="24"/>
          <w:lang w:val="eu-ES"/>
        </w:rPr>
        <w:t>ren</w:t>
      </w:r>
      <w:r w:rsidR="005E22A9" w:rsidRPr="007B6984">
        <w:rPr>
          <w:rFonts w:asciiTheme="minorHAnsi" w:hAnsiTheme="minorHAnsi" w:cstheme="minorHAnsi"/>
          <w:b/>
          <w:bCs/>
          <w:sz w:val="28"/>
          <w:szCs w:val="24"/>
          <w:lang w:val="eu-ES"/>
        </w:rPr>
        <w:t xml:space="preserve"> aurkezpena</w:t>
      </w:r>
    </w:p>
    <w:p w:rsidR="005E22A9" w:rsidRPr="007B6984" w:rsidRDefault="005E22A9" w:rsidP="007B6984">
      <w:pPr>
        <w:spacing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u-ES" w:eastAsia="ar-SA"/>
        </w:rPr>
      </w:pPr>
    </w:p>
    <w:p w:rsidR="005E22A9" w:rsidRPr="007B6984" w:rsidRDefault="005E22A9" w:rsidP="007B698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 w:rsidRPr="007B6984">
        <w:rPr>
          <w:rFonts w:asciiTheme="minorHAnsi" w:hAnsiTheme="minorHAnsi" w:cstheme="minorHAnsi"/>
          <w:b/>
          <w:sz w:val="24"/>
          <w:szCs w:val="24"/>
          <w:lang w:val="eu-ES"/>
        </w:rPr>
        <w:t>Iruñ</w:t>
      </w:r>
      <w:r w:rsidR="00BC34B7" w:rsidRPr="007B6984">
        <w:rPr>
          <w:rFonts w:asciiTheme="minorHAnsi" w:hAnsiTheme="minorHAnsi" w:cstheme="minorHAnsi"/>
          <w:b/>
          <w:sz w:val="24"/>
          <w:szCs w:val="24"/>
          <w:lang w:val="eu-ES"/>
        </w:rPr>
        <w:t>e</w:t>
      </w:r>
      <w:r w:rsidRPr="007B6984">
        <w:rPr>
          <w:rFonts w:asciiTheme="minorHAnsi" w:hAnsiTheme="minorHAnsi" w:cstheme="minorHAnsi"/>
          <w:b/>
          <w:sz w:val="24"/>
          <w:szCs w:val="24"/>
          <w:lang w:val="eu-ES"/>
        </w:rPr>
        <w:t>a, 20</w:t>
      </w:r>
      <w:r w:rsidR="0062493C" w:rsidRPr="007B6984">
        <w:rPr>
          <w:rFonts w:asciiTheme="minorHAnsi" w:hAnsiTheme="minorHAnsi" w:cstheme="minorHAnsi"/>
          <w:b/>
          <w:sz w:val="24"/>
          <w:szCs w:val="24"/>
          <w:lang w:val="eu-ES"/>
        </w:rPr>
        <w:t>2</w:t>
      </w:r>
      <w:r w:rsidR="00153517">
        <w:rPr>
          <w:rFonts w:asciiTheme="minorHAnsi" w:hAnsiTheme="minorHAnsi" w:cstheme="minorHAnsi"/>
          <w:b/>
          <w:sz w:val="24"/>
          <w:szCs w:val="24"/>
          <w:lang w:val="eu-ES"/>
        </w:rPr>
        <w:t>1</w:t>
      </w:r>
      <w:r w:rsidR="00BC34B7" w:rsidRPr="007B6984">
        <w:rPr>
          <w:rFonts w:asciiTheme="minorHAnsi" w:hAnsiTheme="minorHAnsi" w:cstheme="minorHAnsi"/>
          <w:b/>
          <w:sz w:val="24"/>
          <w:szCs w:val="24"/>
          <w:lang w:val="eu-ES"/>
        </w:rPr>
        <w:t xml:space="preserve">ko </w:t>
      </w:r>
      <w:r w:rsidR="00153517">
        <w:rPr>
          <w:rFonts w:asciiTheme="minorHAnsi" w:hAnsiTheme="minorHAnsi" w:cstheme="minorHAnsi"/>
          <w:b/>
          <w:sz w:val="24"/>
          <w:szCs w:val="24"/>
          <w:lang w:val="eu-ES"/>
        </w:rPr>
        <w:t>apirilaren 13</w:t>
      </w:r>
      <w:r w:rsidR="00BC34B7" w:rsidRPr="007B6984">
        <w:rPr>
          <w:rFonts w:asciiTheme="minorHAnsi" w:hAnsiTheme="minorHAnsi" w:cstheme="minorHAnsi"/>
          <w:b/>
          <w:sz w:val="24"/>
          <w:szCs w:val="24"/>
          <w:lang w:val="eu-ES"/>
        </w:rPr>
        <w:t>a</w:t>
      </w:r>
      <w:r w:rsidRPr="007B6984">
        <w:rPr>
          <w:rFonts w:asciiTheme="minorHAnsi" w:hAnsiTheme="minorHAnsi" w:cstheme="minorHAnsi"/>
          <w:b/>
          <w:sz w:val="24"/>
          <w:szCs w:val="24"/>
          <w:lang w:val="eu-ES"/>
        </w:rPr>
        <w:t xml:space="preserve">. </w:t>
      </w:r>
    </w:p>
    <w:p w:rsidR="005E22A9" w:rsidRPr="007B6984" w:rsidRDefault="005E22A9" w:rsidP="007B6984">
      <w:pPr>
        <w:spacing w:line="360" w:lineRule="auto"/>
        <w:jc w:val="both"/>
        <w:rPr>
          <w:rFonts w:asciiTheme="minorHAnsi" w:hAnsiTheme="minorHAnsi" w:cstheme="minorHAnsi"/>
          <w:b/>
          <w:i/>
          <w:sz w:val="24"/>
          <w:szCs w:val="24"/>
          <w:lang w:val="eu-ES"/>
        </w:rPr>
      </w:pPr>
    </w:p>
    <w:p w:rsidR="00BC34B7" w:rsidRPr="007B6984" w:rsidRDefault="00BC34B7" w:rsidP="00C82C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Aurten ere, Nafarroako Gizarte Erakundeen Plataforma (PES) osatzen duten lau erakundeek, hau da, Nafarroako </w:t>
      </w:r>
      <w:proofErr w:type="spellStart"/>
      <w:r w:rsidRPr="007B6984">
        <w:rPr>
          <w:rFonts w:asciiTheme="minorHAnsi" w:hAnsiTheme="minorHAnsi" w:cstheme="minorHAnsi"/>
          <w:sz w:val="24"/>
          <w:szCs w:val="24"/>
          <w:lang w:val="eu-ES"/>
        </w:rPr>
        <w:t>GGKE</w:t>
      </w:r>
      <w:r w:rsidR="0065743B" w:rsidRPr="007B6984">
        <w:rPr>
          <w:rFonts w:asciiTheme="minorHAnsi" w:hAnsiTheme="minorHAnsi" w:cstheme="minorHAnsi"/>
          <w:sz w:val="24"/>
          <w:szCs w:val="24"/>
          <w:lang w:val="eu-ES"/>
        </w:rPr>
        <w:t>e</w:t>
      </w:r>
      <w:r w:rsidRPr="007B6984">
        <w:rPr>
          <w:rFonts w:asciiTheme="minorHAnsi" w:hAnsiTheme="minorHAnsi" w:cstheme="minorHAnsi"/>
          <w:sz w:val="24"/>
          <w:szCs w:val="24"/>
          <w:lang w:val="eu-ES"/>
        </w:rPr>
        <w:t>n</w:t>
      </w:r>
      <w:proofErr w:type="spellEnd"/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 Koordinakundeak (CONGDN), Ekonomia Alternatibo eta </w:t>
      </w:r>
      <w:proofErr w:type="spellStart"/>
      <w:r w:rsidRPr="007B6984">
        <w:rPr>
          <w:rFonts w:asciiTheme="minorHAnsi" w:hAnsiTheme="minorHAnsi" w:cstheme="minorHAnsi"/>
          <w:sz w:val="24"/>
          <w:szCs w:val="24"/>
          <w:lang w:val="eu-ES"/>
        </w:rPr>
        <w:t>Elkartasunezkoaren</w:t>
      </w:r>
      <w:proofErr w:type="spellEnd"/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 Sareak (REAS Nafarroa), </w:t>
      </w:r>
      <w:bookmarkStart w:id="0" w:name="OLE_LINK1"/>
      <w:bookmarkStart w:id="1" w:name="OLE_LINK2"/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Pobreziaren </w:t>
      </w:r>
      <w:r w:rsidR="0065743B"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 kontrako </w:t>
      </w:r>
      <w:r w:rsidRPr="007B6984">
        <w:rPr>
          <w:rFonts w:asciiTheme="minorHAnsi" w:hAnsiTheme="minorHAnsi" w:cstheme="minorHAnsi"/>
          <w:sz w:val="24"/>
          <w:szCs w:val="24"/>
          <w:lang w:val="eu-ES"/>
        </w:rPr>
        <w:t>Sareak</w:t>
      </w:r>
      <w:bookmarkEnd w:id="0"/>
      <w:bookmarkEnd w:id="1"/>
      <w:r w:rsidR="004D56B5" w:rsidRPr="007B6984">
        <w:rPr>
          <w:rFonts w:asciiTheme="minorHAnsi" w:hAnsiTheme="minorHAnsi" w:cstheme="minorHAnsi"/>
          <w:sz w:val="24"/>
          <w:szCs w:val="24"/>
          <w:lang w:val="eu-ES"/>
        </w:rPr>
        <w:t>,</w:t>
      </w:r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 eta Desgaitasuna duten Pertsonak ordezkatzen dituzten Nafarroako Erakundeen Batzordea</w:t>
      </w:r>
      <w:r w:rsidR="004D56B5" w:rsidRPr="007B6984">
        <w:rPr>
          <w:rFonts w:asciiTheme="minorHAnsi" w:hAnsiTheme="minorHAnsi" w:cstheme="minorHAnsi"/>
          <w:sz w:val="24"/>
          <w:szCs w:val="24"/>
          <w:lang w:val="eu-ES"/>
        </w:rPr>
        <w:t>k</w:t>
      </w:r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 (CERMI Navarra-Nafarroa, CERMIN), betiere Nafarroako Gurutze Gorriarekin batera, </w:t>
      </w:r>
      <w:r w:rsidRPr="007B6984">
        <w:rPr>
          <w:rFonts w:asciiTheme="minorHAnsi" w:hAnsiTheme="minorHAnsi" w:cstheme="minorHAnsi"/>
          <w:b/>
          <w:sz w:val="24"/>
          <w:szCs w:val="24"/>
          <w:lang w:val="eu-ES"/>
        </w:rPr>
        <w:t>“</w:t>
      </w:r>
      <w:r w:rsidR="00C82CA7">
        <w:rPr>
          <w:rFonts w:asciiTheme="minorHAnsi" w:hAnsiTheme="minorHAnsi" w:cstheme="minorHAnsi"/>
          <w:b/>
          <w:i/>
          <w:sz w:val="24"/>
          <w:szCs w:val="24"/>
          <w:lang w:val="eu-ES"/>
        </w:rPr>
        <w:t>Ez utzi biharko gaur markatu dezakezuna</w:t>
      </w:r>
      <w:r w:rsidRPr="007B6984">
        <w:rPr>
          <w:rFonts w:asciiTheme="minorHAnsi" w:hAnsiTheme="minorHAnsi" w:cstheme="minorHAnsi"/>
          <w:b/>
          <w:i/>
          <w:sz w:val="24"/>
          <w:szCs w:val="24"/>
          <w:lang w:val="eu-ES"/>
        </w:rPr>
        <w:t>”</w:t>
      </w:r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 kanpaina aurkeztu dute astearte honetan. </w:t>
      </w:r>
      <w:r w:rsidRPr="007B6984">
        <w:rPr>
          <w:rFonts w:asciiTheme="minorHAnsi" w:hAnsiTheme="minorHAnsi" w:cstheme="minorHAnsi"/>
          <w:b/>
          <w:sz w:val="24"/>
          <w:szCs w:val="24"/>
          <w:lang w:val="eu-ES"/>
        </w:rPr>
        <w:t>Errenta aitorpenari buruzko kanpaina da, eta nafar herritarrak animatu dituzte “</w:t>
      </w:r>
      <w:r w:rsidRPr="007B6984">
        <w:rPr>
          <w:rFonts w:asciiTheme="minorHAnsi" w:hAnsiTheme="minorHAnsi" w:cstheme="minorHAnsi"/>
          <w:b/>
          <w:i/>
          <w:sz w:val="24"/>
          <w:szCs w:val="24"/>
          <w:lang w:val="eu-ES"/>
        </w:rPr>
        <w:t xml:space="preserve">gizarte </w:t>
      </w:r>
      <w:r w:rsidR="005E4E48" w:rsidRPr="007B6984">
        <w:rPr>
          <w:rFonts w:asciiTheme="minorHAnsi" w:hAnsiTheme="minorHAnsi" w:cstheme="minorHAnsi"/>
          <w:b/>
          <w:i/>
          <w:sz w:val="24"/>
          <w:szCs w:val="24"/>
          <w:lang w:val="eu-ES"/>
        </w:rPr>
        <w:t>xedeetarako</w:t>
      </w:r>
      <w:r w:rsidRPr="007B6984">
        <w:rPr>
          <w:rFonts w:asciiTheme="minorHAnsi" w:hAnsiTheme="minorHAnsi" w:cstheme="minorHAnsi"/>
          <w:b/>
          <w:sz w:val="24"/>
          <w:szCs w:val="24"/>
          <w:lang w:val="eu-ES"/>
        </w:rPr>
        <w:t>” laukia aukeratzera</w:t>
      </w:r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. </w:t>
      </w:r>
    </w:p>
    <w:p w:rsidR="00B55500" w:rsidRPr="007B6984" w:rsidRDefault="00B55500" w:rsidP="00C82C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u-ES"/>
        </w:rPr>
      </w:pPr>
    </w:p>
    <w:p w:rsidR="00FC3E7D" w:rsidRPr="007B6984" w:rsidRDefault="00BC34B7" w:rsidP="00C82C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 w:rsidRPr="007B6984">
        <w:rPr>
          <w:rFonts w:asciiTheme="minorHAnsi" w:hAnsiTheme="minorHAnsi" w:cstheme="minorHAnsi"/>
          <w:sz w:val="24"/>
          <w:szCs w:val="24"/>
          <w:lang w:val="eu-ES"/>
        </w:rPr>
        <w:t>Horrela,</w:t>
      </w:r>
      <w:r w:rsidR="005E0442"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 </w:t>
      </w:r>
      <w:r w:rsidRPr="007B6984">
        <w:rPr>
          <w:rFonts w:asciiTheme="minorHAnsi" w:hAnsiTheme="minorHAnsi" w:cstheme="minorHAnsi"/>
          <w:sz w:val="24"/>
          <w:szCs w:val="24"/>
          <w:lang w:val="eu-ES"/>
        </w:rPr>
        <w:t>Gizarte Erakundeen Plataforma (PES) osatzen duten 1</w:t>
      </w:r>
      <w:r w:rsidR="004622AC"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50etik gora </w:t>
      </w:r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erakundeek eta Gurutze Gorriak oroitarazi nahi dute </w:t>
      </w:r>
      <w:r w:rsidR="00CF33F6"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nafar herritarren ekarpenari esker garatzen dituztela egoerarik ahulenean dagoen jendearendako programak, herritarrek errenta aitorpeneko gizarte </w:t>
      </w:r>
      <w:r w:rsidR="005E4E48" w:rsidRPr="007B6984">
        <w:rPr>
          <w:rFonts w:asciiTheme="minorHAnsi" w:hAnsiTheme="minorHAnsi" w:cstheme="minorHAnsi"/>
          <w:sz w:val="24"/>
          <w:szCs w:val="24"/>
          <w:lang w:val="eu-ES"/>
        </w:rPr>
        <w:t>xedeetarako</w:t>
      </w:r>
      <w:r w:rsidR="00CF33F6"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 laukia markatzearen ondorioz. </w:t>
      </w:r>
    </w:p>
    <w:p w:rsidR="005E4F3C" w:rsidRPr="007B6984" w:rsidRDefault="005E4F3C" w:rsidP="00C82C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u-ES"/>
        </w:rPr>
      </w:pPr>
    </w:p>
    <w:p w:rsidR="00C82CA7" w:rsidRPr="00C82CA7" w:rsidRDefault="00C82CA7" w:rsidP="00C82C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 w:rsidRPr="00C82CA7">
        <w:rPr>
          <w:rFonts w:asciiTheme="minorHAnsi" w:hAnsiTheme="minorHAnsi" w:cstheme="minorHAnsi"/>
          <w:sz w:val="24"/>
          <w:szCs w:val="24"/>
          <w:lang w:val="eu-ES"/>
        </w:rPr>
        <w:t xml:space="preserve">Azken urtebetean, gizarteak bere balioa erakutsi du gauzak antolatzeko, zainketen sareetan bermatzeko eta entitateen artean elkarri laguntzeko. Egunero txalotu egin da </w:t>
      </w:r>
      <w:r w:rsidRPr="00C82CA7">
        <w:rPr>
          <w:rFonts w:asciiTheme="minorHAnsi" w:hAnsiTheme="minorHAnsi" w:cstheme="minorHAnsi"/>
          <w:sz w:val="24"/>
          <w:szCs w:val="24"/>
          <w:lang w:val="eu-ES"/>
        </w:rPr>
        <w:lastRenderedPageBreak/>
        <w:t xml:space="preserve">pertsonak zaintzen ari direnen lana, eta agerian gelditu da ekimen hau hartu beharra: hots, “ez utzi biharko gaur markatu dezakezuna”. </w:t>
      </w:r>
    </w:p>
    <w:p w:rsidR="00C82CA7" w:rsidRDefault="00C82CA7" w:rsidP="007B698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u-ES"/>
        </w:rPr>
      </w:pPr>
    </w:p>
    <w:p w:rsidR="002E583D" w:rsidRPr="007B6984" w:rsidRDefault="00CF33F6" w:rsidP="007B698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u-ES"/>
        </w:rPr>
      </w:pPr>
      <w:r w:rsidRPr="007B6984">
        <w:rPr>
          <w:rFonts w:asciiTheme="minorHAnsi" w:hAnsiTheme="minorHAnsi" w:cstheme="minorHAnsi"/>
          <w:b/>
          <w:sz w:val="24"/>
          <w:szCs w:val="24"/>
          <w:lang w:val="eu-ES"/>
        </w:rPr>
        <w:t>Hortik heldu da “</w:t>
      </w:r>
      <w:r w:rsidR="00C82CA7">
        <w:rPr>
          <w:rFonts w:asciiTheme="minorHAnsi" w:hAnsiTheme="minorHAnsi" w:cstheme="minorHAnsi"/>
          <w:b/>
          <w:i/>
          <w:sz w:val="24"/>
          <w:szCs w:val="24"/>
          <w:lang w:val="eu-ES"/>
        </w:rPr>
        <w:t>Ez utzi biharko gaur markatu dezakezuna</w:t>
      </w:r>
      <w:r w:rsidR="002E583D" w:rsidRPr="007B6984">
        <w:rPr>
          <w:rFonts w:asciiTheme="minorHAnsi" w:hAnsiTheme="minorHAnsi" w:cstheme="minorHAnsi"/>
          <w:b/>
          <w:sz w:val="24"/>
          <w:szCs w:val="24"/>
          <w:lang w:val="eu-ES"/>
        </w:rPr>
        <w:t>”:</w:t>
      </w:r>
      <w:r w:rsidRPr="007B6984">
        <w:rPr>
          <w:rFonts w:asciiTheme="minorHAnsi" w:hAnsiTheme="minorHAnsi" w:cstheme="minorHAnsi"/>
          <w:b/>
          <w:sz w:val="24"/>
          <w:szCs w:val="24"/>
          <w:lang w:val="eu-ES"/>
        </w:rPr>
        <w:t xml:space="preserve"> izan ere, egungo egoeran, hau da, krisiak osasungintza, gizartea eta ekonomia jo dituen honetan, inoiz baino garrantzitsuagoa da herritarren ekarpena, pandemiak eragin ditzakeen kalteak arintzen eta murrizten saiatze aldera. </w:t>
      </w:r>
      <w:r w:rsidR="002E583D"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 </w:t>
      </w:r>
    </w:p>
    <w:p w:rsidR="005E22A9" w:rsidRPr="007B6984" w:rsidRDefault="005E22A9" w:rsidP="007B6984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u-ES" w:eastAsia="es-ES"/>
        </w:rPr>
      </w:pPr>
    </w:p>
    <w:p w:rsidR="00CF33F6" w:rsidRPr="007B6984" w:rsidRDefault="00CF33F6" w:rsidP="007B698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Aurten, berriz ere, </w:t>
      </w:r>
      <w:r w:rsidRPr="007B6984">
        <w:rPr>
          <w:rFonts w:asciiTheme="minorHAnsi" w:hAnsiTheme="minorHAnsi" w:cstheme="minorHAnsi"/>
          <w:b/>
          <w:sz w:val="24"/>
          <w:szCs w:val="24"/>
          <w:lang w:val="eu-ES"/>
        </w:rPr>
        <w:t xml:space="preserve">laukia zuri uzten dutenen aitorpenak </w:t>
      </w:r>
      <w:r w:rsidRPr="007B6984">
        <w:rPr>
          <w:rFonts w:asciiTheme="minorHAnsi" w:hAnsiTheme="minorHAnsi" w:cstheme="minorHAnsi"/>
          <w:sz w:val="24"/>
          <w:szCs w:val="24"/>
          <w:lang w:val="eu-ES"/>
        </w:rPr>
        <w:t>izanen dira bereziki Kanpainaren ardatz. Izan ere, laukia zuri uzten duten aitortzaileen % 2</w:t>
      </w:r>
      <w:r w:rsidR="00153517">
        <w:rPr>
          <w:rFonts w:asciiTheme="minorHAnsi" w:hAnsiTheme="minorHAnsi" w:cstheme="minorHAnsi"/>
          <w:sz w:val="24"/>
          <w:szCs w:val="24"/>
          <w:lang w:val="eu-ES"/>
        </w:rPr>
        <w:t>1,53</w:t>
      </w:r>
      <w:r w:rsidR="004D56B5"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 hori izanen dira</w:t>
      </w:r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 Kanpainaren </w:t>
      </w:r>
      <w:r w:rsidR="004D56B5" w:rsidRPr="007B6984">
        <w:rPr>
          <w:rFonts w:asciiTheme="minorHAnsi" w:hAnsiTheme="minorHAnsi" w:cstheme="minorHAnsi"/>
          <w:sz w:val="24"/>
          <w:szCs w:val="24"/>
          <w:lang w:val="eu-ES"/>
        </w:rPr>
        <w:t>jomuga</w:t>
      </w:r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. Guztira, </w:t>
      </w:r>
      <w:r w:rsidR="00153517">
        <w:rPr>
          <w:rFonts w:asciiTheme="minorHAnsi" w:hAnsiTheme="minorHAnsi" w:cstheme="minorHAnsi"/>
          <w:sz w:val="24"/>
          <w:szCs w:val="24"/>
          <w:lang w:val="eu-ES"/>
        </w:rPr>
        <w:t>107.750</w:t>
      </w:r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 lagun dira (% 1,3 gehiago, aurreko urtearekin alderatuta). Ez dira batere datu onak, eta gure iritziz, horren atzean hainbat arrazoi daude. </w:t>
      </w:r>
    </w:p>
    <w:p w:rsidR="005E22A9" w:rsidRPr="007B6984" w:rsidRDefault="005E22A9" w:rsidP="007B6984">
      <w:pPr>
        <w:spacing w:line="360" w:lineRule="auto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  <w:lang w:val="eu-ES"/>
        </w:rPr>
      </w:pPr>
    </w:p>
    <w:p w:rsidR="00A64B0A" w:rsidRPr="00A64B0A" w:rsidRDefault="00A64B0A" w:rsidP="00A64B0A">
      <w:pPr>
        <w:numPr>
          <w:ilvl w:val="1"/>
          <w:numId w:val="2"/>
        </w:numPr>
        <w:tabs>
          <w:tab w:val="clear" w:pos="0"/>
          <w:tab w:val="num" w:pos="-372"/>
        </w:tabs>
        <w:spacing w:line="360" w:lineRule="auto"/>
        <w:ind w:left="1068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 w:rsidRPr="00A64B0A">
        <w:rPr>
          <w:rFonts w:asciiTheme="minorHAnsi" w:hAnsiTheme="minorHAnsi" w:cstheme="minorHAnsi"/>
          <w:b/>
          <w:sz w:val="24"/>
          <w:szCs w:val="24"/>
          <w:lang w:val="eu-ES"/>
        </w:rPr>
        <w:t>Errenta-aitorpena lehen aldiz egiten duten pertsonak</w:t>
      </w:r>
      <w:r w:rsidRPr="00A64B0A">
        <w:rPr>
          <w:rFonts w:asciiTheme="minorHAnsi" w:hAnsiTheme="minorHAnsi" w:cstheme="minorHAnsi"/>
          <w:sz w:val="24"/>
          <w:szCs w:val="24"/>
          <w:lang w:val="eu-ES"/>
        </w:rPr>
        <w:t>. Askotan, aitorpena egina jasotzen dute eta laukia zuri dator berez. Halakoetan, herritarrek berek beren ekimenez aldatu behar dute aukera hori. Hori dela eta, webgune bat sortu da,</w:t>
      </w:r>
      <w:r>
        <w:rPr>
          <w:rFonts w:asciiTheme="minorHAnsi" w:hAnsiTheme="minorHAnsi" w:cstheme="minorHAnsi"/>
          <w:sz w:val="24"/>
          <w:szCs w:val="24"/>
          <w:lang w:val="eu-ES"/>
        </w:rPr>
        <w:t xml:space="preserve"> </w:t>
      </w:r>
      <w:hyperlink r:id="rId8" w:history="1">
        <w:r w:rsidRPr="002B21D2">
          <w:rPr>
            <w:rStyle w:val="Hipervnculo"/>
            <w:rFonts w:asciiTheme="minorHAnsi" w:hAnsiTheme="minorHAnsi" w:cstheme="minorHAnsi"/>
            <w:sz w:val="24"/>
            <w:szCs w:val="24"/>
            <w:lang w:val="eu-ES"/>
          </w:rPr>
          <w:t>www.MarcaFinesSociales.com</w:t>
        </w:r>
      </w:hyperlink>
      <w:r w:rsidRPr="00A64B0A">
        <w:rPr>
          <w:rFonts w:asciiTheme="minorHAnsi" w:hAnsiTheme="minorHAnsi" w:cstheme="minorHAnsi"/>
          <w:sz w:val="24"/>
          <w:szCs w:val="24"/>
          <w:lang w:val="eu-ES"/>
        </w:rPr>
        <w:t xml:space="preserve">, herritarrei azaltzeko zer bide dauden helburu sozialetarako laukia markatzeko. </w:t>
      </w:r>
    </w:p>
    <w:p w:rsidR="00A31F48" w:rsidRPr="007B6984" w:rsidRDefault="00A31F48" w:rsidP="007B6984">
      <w:pPr>
        <w:numPr>
          <w:ilvl w:val="1"/>
          <w:numId w:val="2"/>
        </w:numPr>
        <w:tabs>
          <w:tab w:val="clear" w:pos="0"/>
          <w:tab w:val="num" w:pos="-372"/>
        </w:tabs>
        <w:spacing w:line="360" w:lineRule="auto"/>
        <w:ind w:left="1068"/>
        <w:jc w:val="both"/>
        <w:rPr>
          <w:rFonts w:asciiTheme="minorHAnsi" w:hAnsiTheme="minorHAnsi" w:cstheme="minorHAnsi"/>
          <w:color w:val="FF0000"/>
          <w:sz w:val="24"/>
          <w:szCs w:val="24"/>
          <w:lang w:val="eu-ES"/>
        </w:rPr>
      </w:pPr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Pertsona batzuek, gainera, ez dute laukia markatzen </w:t>
      </w:r>
      <w:r w:rsidRPr="007B6984">
        <w:rPr>
          <w:rFonts w:asciiTheme="minorHAnsi" w:hAnsiTheme="minorHAnsi" w:cstheme="minorHAnsi"/>
          <w:b/>
          <w:sz w:val="24"/>
          <w:szCs w:val="24"/>
          <w:lang w:val="eu-ES"/>
        </w:rPr>
        <w:t>gehiago ordaindu behar dutelakoan edo gutxiago itzuliko zaielakoan, eta ez da horrela</w:t>
      </w:r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. Izan ere, gizarte xedeetarako laukia markatzen duzunean, erabiltzen ari zara zure zergak zertara bideratzen diren erabakitzeko duzun eskubidea. </w:t>
      </w:r>
    </w:p>
    <w:p w:rsidR="0085617E" w:rsidRPr="007B6984" w:rsidRDefault="0085617E" w:rsidP="007B698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u-ES"/>
        </w:rPr>
      </w:pPr>
    </w:p>
    <w:p w:rsidR="005E22A9" w:rsidRDefault="00A31F48" w:rsidP="007B698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Inork argibiderik nahi badu laukia markatzeko prozeduraz edota edozein aldaketa egiteko moduaz, dei dezala </w:t>
      </w:r>
      <w:r w:rsidR="00022720" w:rsidRPr="00022720">
        <w:rPr>
          <w:rFonts w:asciiTheme="minorHAnsi" w:hAnsiTheme="minorHAnsi" w:cstheme="minorHAnsi"/>
          <w:sz w:val="24"/>
          <w:szCs w:val="24"/>
          <w:lang w:val="eu-ES"/>
        </w:rPr>
        <w:t xml:space="preserve">948 </w:t>
      </w:r>
      <w:r w:rsidR="00750636">
        <w:rPr>
          <w:rFonts w:asciiTheme="minorHAnsi" w:hAnsiTheme="minorHAnsi" w:cstheme="minorHAnsi"/>
          <w:sz w:val="24"/>
          <w:szCs w:val="24"/>
          <w:lang w:val="eu-ES"/>
        </w:rPr>
        <w:t>106 106</w:t>
      </w:r>
      <w:r w:rsidR="00022720">
        <w:rPr>
          <w:rFonts w:asciiTheme="majorHAnsi" w:eastAsia="Arial" w:hAnsiTheme="majorHAnsi" w:cstheme="majorHAnsi"/>
          <w:sz w:val="24"/>
          <w:szCs w:val="24"/>
          <w:lang w:val="eu-ES"/>
        </w:rPr>
        <w:t xml:space="preserve"> </w:t>
      </w:r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zenbakira edo eska dezala </w:t>
      </w:r>
      <w:r w:rsidR="00022720" w:rsidRPr="00022720">
        <w:rPr>
          <w:rFonts w:asciiTheme="majorHAnsi" w:eastAsia="Arial" w:hAnsiTheme="majorHAnsi" w:cstheme="majorHAnsi"/>
          <w:sz w:val="24"/>
          <w:szCs w:val="24"/>
          <w:lang w:val="eu-ES"/>
        </w:rPr>
        <w:t>www.renta.navarra.es / </w:t>
      </w:r>
      <w:hyperlink r:id="rId9" w:history="1">
        <w:r w:rsidR="00022720" w:rsidRPr="00022720">
          <w:rPr>
            <w:rFonts w:asciiTheme="majorHAnsi" w:eastAsia="Arial" w:hAnsiTheme="majorHAnsi" w:cstheme="majorHAnsi"/>
            <w:sz w:val="24"/>
            <w:szCs w:val="24"/>
            <w:lang w:val="eu-ES"/>
          </w:rPr>
          <w:t>www.errenta.nafarroa.eus</w:t>
        </w:r>
      </w:hyperlink>
      <w:hyperlink r:id="rId10" w:history="1"/>
      <w:r w:rsidRPr="007B6984">
        <w:rPr>
          <w:rFonts w:asciiTheme="minorHAnsi" w:hAnsiTheme="minorHAnsi" w:cstheme="minorHAnsi"/>
          <w:sz w:val="24"/>
          <w:szCs w:val="24"/>
          <w:lang w:val="eu-ES"/>
        </w:rPr>
        <w:t xml:space="preserve"> webgunearen bidez.</w:t>
      </w:r>
      <w:r w:rsidR="00022720" w:rsidRPr="00022720">
        <w:rPr>
          <w:rFonts w:asciiTheme="majorHAnsi" w:eastAsia="Arial" w:hAnsiTheme="majorHAnsi" w:cstheme="majorHAnsi"/>
          <w:sz w:val="24"/>
          <w:szCs w:val="24"/>
          <w:lang w:val="eu-ES"/>
        </w:rPr>
        <w:t xml:space="preserve"> </w:t>
      </w:r>
    </w:p>
    <w:p w:rsidR="007B6984" w:rsidRPr="007B6984" w:rsidRDefault="007B6984" w:rsidP="007B6984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eu-ES"/>
        </w:rPr>
      </w:pPr>
    </w:p>
    <w:p w:rsidR="005E22A9" w:rsidRPr="007B6984" w:rsidRDefault="005E22A9" w:rsidP="007B6984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u-ES"/>
        </w:rPr>
      </w:pPr>
    </w:p>
    <w:p w:rsidR="005E22A9" w:rsidRPr="007B6984" w:rsidRDefault="00A31F48" w:rsidP="007B698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 w:rsidRPr="007B6984">
        <w:rPr>
          <w:rFonts w:asciiTheme="minorHAnsi" w:hAnsiTheme="minorHAnsi" w:cstheme="minorHAnsi"/>
          <w:sz w:val="24"/>
          <w:szCs w:val="24"/>
          <w:lang w:val="eu-ES"/>
        </w:rPr>
        <w:lastRenderedPageBreak/>
        <w:t>Kanpaina, halaber, gauz</w:t>
      </w:r>
      <w:r w:rsidR="003F3847" w:rsidRPr="007B6984">
        <w:rPr>
          <w:rFonts w:asciiTheme="minorHAnsi" w:hAnsiTheme="minorHAnsi" w:cstheme="minorHAnsi"/>
          <w:sz w:val="24"/>
          <w:szCs w:val="24"/>
          <w:lang w:val="eu-ES"/>
        </w:rPr>
        <w:t>a hauetarako baliatu nahi dugu:</w:t>
      </w:r>
    </w:p>
    <w:p w:rsidR="005E22A9" w:rsidRPr="007B6984" w:rsidRDefault="005E22A9" w:rsidP="007B6984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val="eu-ES"/>
        </w:rPr>
      </w:pPr>
    </w:p>
    <w:p w:rsidR="005E22A9" w:rsidRPr="007B6984" w:rsidRDefault="00A31F48" w:rsidP="007B698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B6984">
        <w:rPr>
          <w:rFonts w:asciiTheme="minorHAnsi" w:hAnsiTheme="minorHAnsi" w:cstheme="minorHAnsi"/>
          <w:b/>
          <w:sz w:val="24"/>
          <w:szCs w:val="24"/>
          <w:lang w:val="eu-ES"/>
        </w:rPr>
        <w:t xml:space="preserve">Eskatu nahi dugu parekatu dadila nafar zergadunen egoera Estatuko zergadunek dutenarekin. </w:t>
      </w:r>
      <w:r w:rsidRPr="007B6984">
        <w:rPr>
          <w:rFonts w:asciiTheme="minorHAnsi" w:hAnsiTheme="minorHAnsi" w:cstheme="minorHAnsi"/>
          <w:sz w:val="24"/>
          <w:szCs w:val="24"/>
          <w:lang w:val="eu-ES"/>
        </w:rPr>
        <w:t>Izan ere, Estatuan, bi laukiak (Eliza Katolikoa eta Beste Helburu Sozial batzuk) markatzen dituen zergadunak bere ekarpena bikoizten du (% 0,7+ % 0,7). Gure Komunitatean, aldiz, zatitu egiten da           (% 0,35+% 0,35), nafar herritarrak desabantailan utzita</w:t>
      </w:r>
      <w:r w:rsidR="005E22A9" w:rsidRPr="007B698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22A9" w:rsidRPr="007B6984" w:rsidRDefault="005E22A9" w:rsidP="007B6984">
      <w:pPr>
        <w:pStyle w:val="Prrafodelista"/>
        <w:spacing w:line="360" w:lineRule="auto"/>
        <w:ind w:left="0"/>
        <w:rPr>
          <w:rFonts w:asciiTheme="minorHAnsi" w:hAnsiTheme="minorHAnsi" w:cstheme="minorHAnsi"/>
          <w:color w:val="FF0000"/>
          <w:sz w:val="24"/>
          <w:szCs w:val="24"/>
        </w:rPr>
      </w:pPr>
    </w:p>
    <w:p w:rsidR="00A31F48" w:rsidRPr="007B6984" w:rsidRDefault="00A31F48" w:rsidP="007B698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 w:rsidRPr="007B6984">
        <w:rPr>
          <w:rFonts w:asciiTheme="minorHAnsi" w:hAnsiTheme="minorHAnsi" w:cstheme="minorHAnsi"/>
          <w:b/>
          <w:sz w:val="24"/>
          <w:szCs w:val="24"/>
          <w:lang w:val="eu-ES"/>
        </w:rPr>
        <w:t>Eskatu nahi dugu sor dadila tributu-esleipen berri bat gizarte xedeetarako Sozietateen gaineko Zergan</w:t>
      </w:r>
      <w:r w:rsidRPr="007B6984">
        <w:rPr>
          <w:rFonts w:asciiTheme="minorHAnsi" w:hAnsiTheme="minorHAnsi" w:cstheme="minorHAnsi"/>
          <w:sz w:val="24"/>
          <w:szCs w:val="24"/>
          <w:lang w:val="eu-ES"/>
        </w:rPr>
        <w:t>, Estatu mailan Estatuko 2019rako Aurrekontuen Lege Proiektuan jasoa dagoen bezala</w:t>
      </w:r>
    </w:p>
    <w:p w:rsidR="0013567A" w:rsidRPr="007B6984" w:rsidRDefault="0013567A" w:rsidP="007B6984">
      <w:pPr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E22A9" w:rsidRPr="007B6984" w:rsidRDefault="00A31F48" w:rsidP="007B698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 w:rsidRPr="007B6984">
        <w:rPr>
          <w:rFonts w:asciiTheme="minorHAnsi" w:hAnsiTheme="minorHAnsi" w:cstheme="minorHAnsi"/>
          <w:b/>
          <w:sz w:val="24"/>
          <w:szCs w:val="24"/>
          <w:lang w:val="eu-ES"/>
        </w:rPr>
        <w:t xml:space="preserve">Zerga politika bidezko eta </w:t>
      </w:r>
      <w:proofErr w:type="spellStart"/>
      <w:r w:rsidRPr="007B6984">
        <w:rPr>
          <w:rFonts w:asciiTheme="minorHAnsi" w:hAnsiTheme="minorHAnsi" w:cstheme="minorHAnsi"/>
          <w:b/>
          <w:sz w:val="24"/>
          <w:szCs w:val="24"/>
          <w:lang w:val="eu-ES"/>
        </w:rPr>
        <w:t>birbanatzailea</w:t>
      </w:r>
      <w:proofErr w:type="spellEnd"/>
      <w:r w:rsidRPr="007B6984">
        <w:rPr>
          <w:rFonts w:asciiTheme="minorHAnsi" w:hAnsiTheme="minorHAnsi" w:cstheme="minorHAnsi"/>
          <w:b/>
          <w:sz w:val="24"/>
          <w:szCs w:val="24"/>
          <w:lang w:val="eu-ES"/>
        </w:rPr>
        <w:t xml:space="preserve"> eskatu nahi dugu, eta berdintasunaren, ekitatearen eta justizia sozialaren aldeko zerga sistema bat ere bai. </w:t>
      </w:r>
    </w:p>
    <w:p w:rsidR="005E22A9" w:rsidRPr="007B6984" w:rsidRDefault="005E22A9" w:rsidP="007B6984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  <w:highlight w:val="yellow"/>
          <w:lang w:val="eu-ES"/>
        </w:rPr>
      </w:pPr>
    </w:p>
    <w:p w:rsidR="005E22A9" w:rsidRPr="007B6984" w:rsidRDefault="0065743B" w:rsidP="007B698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 w:rsidRPr="007B6984"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  <w:t>HONA ZENBAIT DATU</w:t>
      </w:r>
      <w:r w:rsidR="005E22A9" w:rsidRPr="007B6984"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  <w:t xml:space="preserve">: </w:t>
      </w:r>
    </w:p>
    <w:p w:rsidR="005E22A9" w:rsidRPr="007B6984" w:rsidRDefault="005E22A9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65743B" w:rsidRPr="007B6984" w:rsidRDefault="0065743B" w:rsidP="007B6984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u-ES" w:eastAsia="es-ES"/>
        </w:rPr>
      </w:pPr>
      <w:r w:rsidRPr="007B6984">
        <w:rPr>
          <w:rFonts w:asciiTheme="minorHAnsi" w:eastAsia="Times New Roman" w:hAnsiTheme="minorHAnsi" w:cstheme="minorHAnsi"/>
          <w:sz w:val="24"/>
          <w:szCs w:val="24"/>
          <w:lang w:val="eu-ES" w:eastAsia="es-ES"/>
        </w:rPr>
        <w:t xml:space="preserve">Iazko errenta aitortzeko kanpainan, guztira </w:t>
      </w:r>
      <w:r w:rsidRPr="007B6984"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  <w:t>235.2</w:t>
      </w:r>
      <w:r w:rsidR="00153517"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  <w:t>05</w:t>
      </w:r>
      <w:r w:rsidRPr="007B6984"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  <w:t xml:space="preserve"> pertsonak markatu zuten gizarte </w:t>
      </w:r>
      <w:r w:rsidR="005E4E48" w:rsidRPr="007B6984"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  <w:t>xedeetarako</w:t>
      </w:r>
      <w:r w:rsidRPr="007B6984"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  <w:t xml:space="preserve"> laukia; hau da, aitortzaileen % 4</w:t>
      </w:r>
      <w:r w:rsidR="00153517"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  <w:t>6,99</w:t>
      </w:r>
      <w:r w:rsidR="004D56B5" w:rsidRPr="007B6984"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  <w:t>k</w:t>
      </w:r>
      <w:r w:rsidRPr="007B6984">
        <w:rPr>
          <w:rFonts w:asciiTheme="minorHAnsi" w:eastAsia="Times New Roman" w:hAnsiTheme="minorHAnsi" w:cstheme="minorHAnsi"/>
          <w:sz w:val="24"/>
          <w:szCs w:val="24"/>
          <w:lang w:val="eu-ES" w:eastAsia="es-ES"/>
        </w:rPr>
        <w:t xml:space="preserve">. Horrek </w:t>
      </w:r>
      <w:r w:rsidRPr="007B6984"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  <w:t>9.</w:t>
      </w:r>
      <w:r w:rsidR="00153517"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  <w:t>999.256</w:t>
      </w:r>
      <w:r w:rsidRPr="007B6984">
        <w:rPr>
          <w:rFonts w:asciiTheme="minorHAnsi" w:eastAsia="Times New Roman" w:hAnsiTheme="minorHAnsi" w:cstheme="minorHAnsi"/>
          <w:sz w:val="24"/>
          <w:szCs w:val="24"/>
          <w:lang w:val="eu-ES" w:eastAsia="es-ES"/>
        </w:rPr>
        <w:t xml:space="preserve"> euroko asignazioa eragin du Nafarroako 20</w:t>
      </w:r>
      <w:r w:rsidR="00153517">
        <w:rPr>
          <w:rFonts w:asciiTheme="minorHAnsi" w:eastAsia="Times New Roman" w:hAnsiTheme="minorHAnsi" w:cstheme="minorHAnsi"/>
          <w:sz w:val="24"/>
          <w:szCs w:val="24"/>
          <w:lang w:val="eu-ES" w:eastAsia="es-ES"/>
        </w:rPr>
        <w:t>20</w:t>
      </w:r>
      <w:r w:rsidRPr="007B6984">
        <w:rPr>
          <w:rFonts w:asciiTheme="minorHAnsi" w:eastAsia="Times New Roman" w:hAnsiTheme="minorHAnsi" w:cstheme="minorHAnsi"/>
          <w:sz w:val="24"/>
          <w:szCs w:val="24"/>
          <w:lang w:val="eu-ES" w:eastAsia="es-ES"/>
        </w:rPr>
        <w:t xml:space="preserve">ko Aurrekontu Orokorretan. </w:t>
      </w:r>
    </w:p>
    <w:p w:rsidR="005E22A9" w:rsidRPr="007B6984" w:rsidRDefault="005E22A9" w:rsidP="007B6984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val="eu-ES" w:eastAsia="es-ES"/>
        </w:rPr>
      </w:pPr>
    </w:p>
    <w:p w:rsidR="0065743B" w:rsidRPr="007B6984" w:rsidRDefault="0065743B" w:rsidP="007B6984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u-ES" w:eastAsia="es-ES"/>
        </w:rPr>
      </w:pPr>
      <w:r w:rsidRPr="007B6984">
        <w:rPr>
          <w:rFonts w:asciiTheme="minorHAnsi" w:eastAsia="Times New Roman" w:hAnsiTheme="minorHAnsi" w:cstheme="minorHAnsi"/>
          <w:sz w:val="24"/>
          <w:szCs w:val="24"/>
          <w:lang w:val="eu-ES" w:eastAsia="es-ES"/>
        </w:rPr>
        <w:t xml:space="preserve">Iaz, dirutza horrekin, eta lauki horren bidez, 280 proiektu baino gehiago finantzatu ziren Nafarroan desgaitasuna duten pertsonentzat, gizartean bazterturik dagoen jendearentzat, adinekoentzat, ingurumeneko programentzat eta nazioarteko lankidetzarentzat. </w:t>
      </w:r>
    </w:p>
    <w:p w:rsidR="005E4F3C" w:rsidRPr="007B6984" w:rsidRDefault="0065743B" w:rsidP="007B698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 w:rsidRPr="007B6984">
        <w:rPr>
          <w:rFonts w:asciiTheme="minorHAnsi" w:eastAsia="Times New Roman" w:hAnsiTheme="minorHAnsi" w:cstheme="minorHAnsi"/>
          <w:sz w:val="24"/>
          <w:szCs w:val="24"/>
          <w:lang w:val="eu-ES" w:eastAsia="es-ES"/>
        </w:rPr>
        <w:t xml:space="preserve">Gizarte </w:t>
      </w:r>
      <w:r w:rsidR="005E4E48" w:rsidRPr="007B6984">
        <w:rPr>
          <w:rFonts w:asciiTheme="minorHAnsi" w:eastAsia="Times New Roman" w:hAnsiTheme="minorHAnsi" w:cstheme="minorHAnsi"/>
          <w:sz w:val="24"/>
          <w:szCs w:val="24"/>
          <w:lang w:val="eu-ES" w:eastAsia="es-ES"/>
        </w:rPr>
        <w:t>xedeetarako</w:t>
      </w:r>
      <w:r w:rsidRPr="007B6984">
        <w:rPr>
          <w:rFonts w:asciiTheme="minorHAnsi" w:eastAsia="Times New Roman" w:hAnsiTheme="minorHAnsi" w:cstheme="minorHAnsi"/>
          <w:sz w:val="24"/>
          <w:szCs w:val="24"/>
          <w:lang w:val="eu-ES" w:eastAsia="es-ES"/>
        </w:rPr>
        <w:t xml:space="preserve"> ekarpenak gora egin du urtez urte 2010ko aurrekontuetako 5 milioi eurotik egungo 9,</w:t>
      </w:r>
      <w:r w:rsidR="00153517">
        <w:rPr>
          <w:rFonts w:asciiTheme="minorHAnsi" w:eastAsia="Times New Roman" w:hAnsiTheme="minorHAnsi" w:cstheme="minorHAnsi"/>
          <w:sz w:val="24"/>
          <w:szCs w:val="24"/>
          <w:lang w:val="eu-ES" w:eastAsia="es-ES"/>
        </w:rPr>
        <w:t>9</w:t>
      </w:r>
      <w:r w:rsidRPr="007B6984">
        <w:rPr>
          <w:rFonts w:asciiTheme="minorHAnsi" w:eastAsia="Times New Roman" w:hAnsiTheme="minorHAnsi" w:cstheme="minorHAnsi"/>
          <w:sz w:val="24"/>
          <w:szCs w:val="24"/>
          <w:lang w:val="eu-ES" w:eastAsia="es-ES"/>
        </w:rPr>
        <w:t xml:space="preserve"> milioi eurora. Datuak, gure iritziz, arras ona dira eta eskertzekoak dira benetan. </w:t>
      </w:r>
    </w:p>
    <w:p w:rsidR="005E22A9" w:rsidRPr="007B6984" w:rsidRDefault="005E22A9" w:rsidP="007B6984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val="eu-ES" w:eastAsia="es-ES"/>
        </w:rPr>
      </w:pPr>
    </w:p>
    <w:p w:rsidR="0065743B" w:rsidRPr="007B6984" w:rsidRDefault="0065743B" w:rsidP="007B698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u-ES" w:eastAsia="es-ES"/>
        </w:rPr>
      </w:pPr>
      <w:r w:rsidRPr="007B6984">
        <w:rPr>
          <w:rFonts w:asciiTheme="minorHAnsi" w:hAnsiTheme="minorHAnsi" w:cstheme="minorHAnsi"/>
          <w:b/>
          <w:sz w:val="24"/>
          <w:szCs w:val="24"/>
          <w:lang w:val="eu-ES" w:eastAsia="es-ES"/>
        </w:rPr>
        <w:t>Gaur abiarazi dugun Kanpainaren bidez, bi gauza nabarmendu nahi ditugu: batetik, gogorarazi nahi dizugu zerga horiek zertara bideratu aukeratzeko duzun eskubidea, eta bestetik, ikusgaitasuna eman nahi diegu diru horiei esker egin daitezkeen programa eta proiektu guztiei.</w:t>
      </w:r>
    </w:p>
    <w:p w:rsidR="008E7F49" w:rsidRPr="007B6984" w:rsidRDefault="008E7F49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FF0000"/>
          <w:sz w:val="24"/>
          <w:szCs w:val="24"/>
          <w:lang w:val="eu-ES" w:eastAsia="es-ES"/>
        </w:rPr>
      </w:pPr>
    </w:p>
    <w:p w:rsidR="005E4F3C" w:rsidRDefault="00A64B0A" w:rsidP="00A64B0A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  <w:lang w:val="eu-ES"/>
        </w:rPr>
      </w:pPr>
      <w:r>
        <w:rPr>
          <w:rFonts w:asciiTheme="minorHAnsi" w:hAnsiTheme="minorHAnsi" w:cstheme="minorHAnsi"/>
          <w:b/>
          <w:bCs/>
          <w:sz w:val="28"/>
          <w:szCs w:val="24"/>
          <w:lang w:val="eu-ES"/>
        </w:rPr>
        <w:t>EZ UTZI BIHARKO GAUR MARKATU DEZAKEZUNA</w:t>
      </w:r>
    </w:p>
    <w:p w:rsidR="00A64B0A" w:rsidRPr="007B6984" w:rsidRDefault="00A64B0A" w:rsidP="00A64B0A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FF0000"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995914" w:rsidRDefault="00995914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</w:p>
    <w:p w:rsidR="005E22A9" w:rsidRPr="007B6984" w:rsidRDefault="0065743B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  <w:bookmarkStart w:id="2" w:name="_GoBack"/>
      <w:bookmarkEnd w:id="2"/>
      <w:r w:rsidRPr="007B6984"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  <w:lastRenderedPageBreak/>
        <w:t>Mahaian daude</w:t>
      </w:r>
      <w:r w:rsidR="005E22A9" w:rsidRPr="007B6984"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  <w:t xml:space="preserve">: </w:t>
      </w:r>
    </w:p>
    <w:p w:rsidR="00F350DA" w:rsidRPr="007B6984" w:rsidRDefault="00F350DA" w:rsidP="007B6984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eu-ES"/>
        </w:rPr>
      </w:pPr>
    </w:p>
    <w:p w:rsidR="005E22A9" w:rsidRDefault="00153517" w:rsidP="007B6984">
      <w:pPr>
        <w:tabs>
          <w:tab w:val="left" w:pos="720"/>
          <w:tab w:val="left" w:pos="2835"/>
          <w:tab w:val="left" w:pos="5529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>
        <w:rPr>
          <w:rFonts w:asciiTheme="minorHAnsi" w:hAnsiTheme="minorHAnsi" w:cstheme="minorHAnsi"/>
          <w:sz w:val="24"/>
          <w:szCs w:val="24"/>
          <w:lang w:val="eu-ES"/>
        </w:rPr>
        <w:t>Mariluz Sanz (CERMIN)</w:t>
      </w:r>
    </w:p>
    <w:p w:rsidR="00153517" w:rsidRDefault="00153517" w:rsidP="007B6984">
      <w:pPr>
        <w:tabs>
          <w:tab w:val="left" w:pos="720"/>
          <w:tab w:val="left" w:pos="2835"/>
          <w:tab w:val="left" w:pos="5529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>
        <w:rPr>
          <w:rFonts w:asciiTheme="minorHAnsi" w:hAnsiTheme="minorHAnsi" w:cstheme="minorHAnsi"/>
          <w:sz w:val="24"/>
          <w:szCs w:val="24"/>
          <w:lang w:val="eu-ES"/>
        </w:rPr>
        <w:t xml:space="preserve">Javier </w:t>
      </w:r>
      <w:proofErr w:type="spellStart"/>
      <w:r>
        <w:rPr>
          <w:rFonts w:asciiTheme="minorHAnsi" w:hAnsiTheme="minorHAnsi" w:cstheme="minorHAnsi"/>
          <w:sz w:val="24"/>
          <w:szCs w:val="24"/>
          <w:lang w:val="eu-ES"/>
        </w:rPr>
        <w:t>Liras</w:t>
      </w:r>
      <w:proofErr w:type="spellEnd"/>
      <w:r>
        <w:rPr>
          <w:rFonts w:asciiTheme="minorHAnsi" w:hAnsiTheme="minorHAnsi" w:cstheme="minorHAnsi"/>
          <w:sz w:val="24"/>
          <w:szCs w:val="24"/>
          <w:lang w:val="eu-ES"/>
        </w:rPr>
        <w:t xml:space="preserve"> (Red de </w:t>
      </w:r>
      <w:proofErr w:type="spellStart"/>
      <w:r>
        <w:rPr>
          <w:rFonts w:asciiTheme="minorHAnsi" w:hAnsiTheme="minorHAnsi" w:cstheme="minorHAnsi"/>
          <w:sz w:val="24"/>
          <w:szCs w:val="24"/>
          <w:lang w:val="eu-ES"/>
        </w:rPr>
        <w:t>Economía</w:t>
      </w:r>
      <w:proofErr w:type="spellEnd"/>
      <w:r>
        <w:rPr>
          <w:rFonts w:asciiTheme="minorHAnsi" w:hAnsiTheme="minorHAnsi" w:cstheme="minorHAnsi"/>
          <w:sz w:val="24"/>
          <w:szCs w:val="24"/>
          <w:lang w:val="eu-E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u-ES"/>
        </w:rPr>
        <w:t>Alternativa</w:t>
      </w:r>
      <w:proofErr w:type="spellEnd"/>
      <w:r>
        <w:rPr>
          <w:rFonts w:asciiTheme="minorHAnsi" w:hAnsiTheme="minorHAnsi" w:cstheme="minorHAnsi"/>
          <w:sz w:val="24"/>
          <w:szCs w:val="24"/>
          <w:lang w:val="eu-ES"/>
        </w:rPr>
        <w:t xml:space="preserve"> y </w:t>
      </w:r>
      <w:proofErr w:type="spellStart"/>
      <w:r>
        <w:rPr>
          <w:rFonts w:asciiTheme="minorHAnsi" w:hAnsiTheme="minorHAnsi" w:cstheme="minorHAnsi"/>
          <w:sz w:val="24"/>
          <w:szCs w:val="24"/>
          <w:lang w:val="eu-ES"/>
        </w:rPr>
        <w:t>Solidaria</w:t>
      </w:r>
      <w:proofErr w:type="spellEnd"/>
      <w:r>
        <w:rPr>
          <w:rFonts w:asciiTheme="minorHAnsi" w:hAnsiTheme="minorHAnsi" w:cstheme="minorHAnsi"/>
          <w:sz w:val="24"/>
          <w:szCs w:val="24"/>
          <w:lang w:val="eu-ES"/>
        </w:rPr>
        <w:t>-REAS)</w:t>
      </w:r>
    </w:p>
    <w:p w:rsidR="00995914" w:rsidRDefault="00995914" w:rsidP="00995914">
      <w:pPr>
        <w:tabs>
          <w:tab w:val="left" w:pos="720"/>
          <w:tab w:val="left" w:pos="2835"/>
          <w:tab w:val="left" w:pos="552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u-ES"/>
        </w:rPr>
      </w:pPr>
    </w:p>
    <w:p w:rsidR="00995914" w:rsidRPr="00995914" w:rsidRDefault="00995914" w:rsidP="00995914">
      <w:pPr>
        <w:tabs>
          <w:tab w:val="left" w:pos="720"/>
          <w:tab w:val="left" w:pos="2835"/>
          <w:tab w:val="left" w:pos="5529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u-ES"/>
        </w:rPr>
      </w:pPr>
      <w:r>
        <w:rPr>
          <w:rFonts w:asciiTheme="minorHAnsi" w:hAnsiTheme="minorHAnsi" w:cstheme="minorHAnsi"/>
          <w:b/>
          <w:sz w:val="24"/>
          <w:szCs w:val="24"/>
          <w:lang w:val="eu-ES"/>
        </w:rPr>
        <w:t>Ordezkariak</w:t>
      </w:r>
    </w:p>
    <w:p w:rsidR="00153517" w:rsidRDefault="00153517" w:rsidP="007B6984">
      <w:pPr>
        <w:tabs>
          <w:tab w:val="left" w:pos="720"/>
          <w:tab w:val="left" w:pos="2835"/>
          <w:tab w:val="left" w:pos="5529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>
        <w:rPr>
          <w:rFonts w:asciiTheme="minorHAnsi" w:hAnsiTheme="minorHAnsi" w:cstheme="minorHAnsi"/>
          <w:sz w:val="24"/>
          <w:szCs w:val="24"/>
          <w:lang w:val="eu-ES"/>
        </w:rPr>
        <w:t xml:space="preserve">Juan Mari </w:t>
      </w:r>
      <w:proofErr w:type="spellStart"/>
      <w:r>
        <w:rPr>
          <w:rFonts w:asciiTheme="minorHAnsi" w:hAnsiTheme="minorHAnsi" w:cstheme="minorHAnsi"/>
          <w:sz w:val="24"/>
          <w:szCs w:val="24"/>
          <w:lang w:val="eu-ES"/>
        </w:rPr>
        <w:t>Erice</w:t>
      </w:r>
      <w:proofErr w:type="spellEnd"/>
      <w:r>
        <w:rPr>
          <w:rFonts w:asciiTheme="minorHAnsi" w:hAnsiTheme="minorHAnsi" w:cstheme="minorHAnsi"/>
          <w:sz w:val="24"/>
          <w:szCs w:val="24"/>
          <w:lang w:val="eu-ES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eu-ES"/>
        </w:rPr>
        <w:t>Coordinadora</w:t>
      </w:r>
      <w:proofErr w:type="spellEnd"/>
      <w:r>
        <w:rPr>
          <w:rFonts w:asciiTheme="minorHAnsi" w:hAnsiTheme="minorHAnsi" w:cstheme="minorHAnsi"/>
          <w:sz w:val="24"/>
          <w:szCs w:val="24"/>
          <w:lang w:val="eu-ES"/>
        </w:rPr>
        <w:t xml:space="preserve"> ONGD de Navarra)</w:t>
      </w:r>
    </w:p>
    <w:p w:rsidR="00153517" w:rsidRDefault="00153517" w:rsidP="007B6984">
      <w:pPr>
        <w:tabs>
          <w:tab w:val="left" w:pos="720"/>
          <w:tab w:val="left" w:pos="2835"/>
          <w:tab w:val="left" w:pos="5529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>
        <w:rPr>
          <w:rFonts w:asciiTheme="minorHAnsi" w:hAnsiTheme="minorHAnsi" w:cstheme="minorHAnsi"/>
          <w:sz w:val="24"/>
          <w:szCs w:val="24"/>
          <w:lang w:val="eu-ES"/>
        </w:rPr>
        <w:t xml:space="preserve">Jon </w:t>
      </w:r>
      <w:proofErr w:type="spellStart"/>
      <w:r>
        <w:rPr>
          <w:rFonts w:asciiTheme="minorHAnsi" w:hAnsiTheme="minorHAnsi" w:cstheme="minorHAnsi"/>
          <w:sz w:val="24"/>
          <w:szCs w:val="24"/>
          <w:lang w:val="eu-ES"/>
        </w:rPr>
        <w:t>Echeverría</w:t>
      </w:r>
      <w:proofErr w:type="spellEnd"/>
      <w:r>
        <w:rPr>
          <w:rFonts w:asciiTheme="minorHAnsi" w:hAnsiTheme="minorHAnsi" w:cstheme="minorHAnsi"/>
          <w:sz w:val="24"/>
          <w:szCs w:val="24"/>
          <w:lang w:val="eu-ES"/>
        </w:rPr>
        <w:t xml:space="preserve"> (Red de </w:t>
      </w:r>
      <w:proofErr w:type="spellStart"/>
      <w:r>
        <w:rPr>
          <w:rFonts w:asciiTheme="minorHAnsi" w:hAnsiTheme="minorHAnsi" w:cstheme="minorHAnsi"/>
          <w:sz w:val="24"/>
          <w:szCs w:val="24"/>
          <w:lang w:val="eu-ES"/>
        </w:rPr>
        <w:t>Lucha</w:t>
      </w:r>
      <w:proofErr w:type="spellEnd"/>
      <w:r>
        <w:rPr>
          <w:rFonts w:asciiTheme="minorHAnsi" w:hAnsiTheme="minorHAnsi" w:cstheme="minorHAnsi"/>
          <w:sz w:val="24"/>
          <w:szCs w:val="24"/>
          <w:lang w:val="eu-E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u-ES"/>
        </w:rPr>
        <w:t>contra</w:t>
      </w:r>
      <w:proofErr w:type="spellEnd"/>
      <w:r>
        <w:rPr>
          <w:rFonts w:asciiTheme="minorHAnsi" w:hAnsiTheme="minorHAnsi" w:cstheme="minorHAnsi"/>
          <w:sz w:val="24"/>
          <w:szCs w:val="24"/>
          <w:lang w:val="eu-ES"/>
        </w:rPr>
        <w:t xml:space="preserve"> la Pobreza)</w:t>
      </w:r>
    </w:p>
    <w:p w:rsidR="00153517" w:rsidRPr="007B6984" w:rsidRDefault="00153517" w:rsidP="007B6984">
      <w:pPr>
        <w:tabs>
          <w:tab w:val="left" w:pos="720"/>
          <w:tab w:val="left" w:pos="2835"/>
          <w:tab w:val="left" w:pos="5529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r>
        <w:rPr>
          <w:rFonts w:asciiTheme="minorHAnsi" w:hAnsiTheme="minorHAnsi" w:cstheme="minorHAnsi"/>
          <w:sz w:val="24"/>
          <w:szCs w:val="24"/>
          <w:lang w:val="eu-ES"/>
        </w:rPr>
        <w:t xml:space="preserve">Mikel Urriza (Cruz </w:t>
      </w:r>
      <w:proofErr w:type="spellStart"/>
      <w:r>
        <w:rPr>
          <w:rFonts w:asciiTheme="minorHAnsi" w:hAnsiTheme="minorHAnsi" w:cstheme="minorHAnsi"/>
          <w:sz w:val="24"/>
          <w:szCs w:val="24"/>
          <w:lang w:val="eu-ES"/>
        </w:rPr>
        <w:t>Roja</w:t>
      </w:r>
      <w:proofErr w:type="spellEnd"/>
      <w:r>
        <w:rPr>
          <w:rFonts w:asciiTheme="minorHAnsi" w:hAnsiTheme="minorHAnsi" w:cstheme="minorHAnsi"/>
          <w:sz w:val="24"/>
          <w:szCs w:val="24"/>
          <w:lang w:val="eu-ES"/>
        </w:rPr>
        <w:t xml:space="preserve"> Navarra)</w:t>
      </w:r>
    </w:p>
    <w:p w:rsidR="005E22A9" w:rsidRPr="007B6984" w:rsidRDefault="005E22A9" w:rsidP="007B6984">
      <w:pPr>
        <w:tabs>
          <w:tab w:val="left" w:pos="2835"/>
          <w:tab w:val="left" w:pos="552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yellow"/>
          <w:lang w:val="eu-ES"/>
        </w:rPr>
      </w:pPr>
    </w:p>
    <w:p w:rsidR="00FB3FD8" w:rsidRPr="007B6984" w:rsidRDefault="0065743B" w:rsidP="007B6984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</w:pPr>
      <w:r w:rsidRPr="007B6984"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  <w:t>Argibideetarako eta elkarrizketak egiteko</w:t>
      </w:r>
      <w:r w:rsidR="003F3847" w:rsidRPr="007B6984">
        <w:rPr>
          <w:rFonts w:asciiTheme="minorHAnsi" w:eastAsia="Times New Roman" w:hAnsiTheme="minorHAnsi" w:cstheme="minorHAnsi"/>
          <w:b/>
          <w:sz w:val="24"/>
          <w:szCs w:val="24"/>
          <w:lang w:val="eu-ES" w:eastAsia="es-ES"/>
        </w:rPr>
        <w:t>:</w:t>
      </w:r>
    </w:p>
    <w:p w:rsidR="0096338C" w:rsidRPr="007B6984" w:rsidRDefault="0096338C" w:rsidP="00153517">
      <w:pPr>
        <w:tabs>
          <w:tab w:val="left" w:pos="720"/>
          <w:tab w:val="left" w:pos="2835"/>
          <w:tab w:val="left" w:pos="5529"/>
        </w:tabs>
        <w:suppressAutoHyphens w:val="0"/>
        <w:spacing w:line="360" w:lineRule="auto"/>
        <w:ind w:left="360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7B6984">
        <w:rPr>
          <w:rFonts w:asciiTheme="minorHAnsi" w:eastAsia="Arial" w:hAnsiTheme="minorHAnsi" w:cstheme="minorHAnsi"/>
          <w:sz w:val="24"/>
          <w:szCs w:val="24"/>
        </w:rPr>
        <w:t>Jaione</w:t>
      </w:r>
      <w:proofErr w:type="spellEnd"/>
      <w:r w:rsidRPr="007B6984">
        <w:rPr>
          <w:rFonts w:asciiTheme="minorHAnsi" w:eastAsia="Arial" w:hAnsiTheme="minorHAnsi" w:cstheme="minorHAnsi"/>
          <w:sz w:val="24"/>
          <w:szCs w:val="24"/>
        </w:rPr>
        <w:t xml:space="preserve"> Eugui. 601 061 547</w:t>
      </w:r>
      <w:r w:rsidR="00995914">
        <w:rPr>
          <w:rFonts w:asciiTheme="minorHAnsi" w:eastAsia="Arial" w:hAnsiTheme="minorHAnsi" w:cstheme="minorHAnsi"/>
          <w:sz w:val="24"/>
          <w:szCs w:val="24"/>
        </w:rPr>
        <w:t xml:space="preserve"> / </w:t>
      </w:r>
      <w:hyperlink r:id="rId11" w:history="1">
        <w:r w:rsidR="00995914" w:rsidRPr="002B21D2">
          <w:rPr>
            <w:rStyle w:val="Hipervnculo"/>
            <w:rFonts w:asciiTheme="minorHAnsi" w:eastAsia="Arial" w:hAnsiTheme="minorHAnsi" w:cstheme="minorHAnsi"/>
            <w:sz w:val="24"/>
            <w:szCs w:val="24"/>
          </w:rPr>
          <w:t>comunicacion@redpobreza.org</w:t>
        </w:r>
      </w:hyperlink>
      <w:r w:rsidR="00995914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5E22A9" w:rsidRPr="00153517" w:rsidRDefault="00995914" w:rsidP="00153517">
      <w:pPr>
        <w:tabs>
          <w:tab w:val="left" w:pos="720"/>
          <w:tab w:val="left" w:pos="2835"/>
          <w:tab w:val="left" w:pos="5529"/>
        </w:tabs>
        <w:spacing w:line="360" w:lineRule="auto"/>
        <w:ind w:left="360"/>
        <w:jc w:val="both"/>
        <w:rPr>
          <w:rStyle w:val="Hipervnculo"/>
          <w:rFonts w:asciiTheme="minorHAnsi" w:hAnsiTheme="minorHAnsi" w:cstheme="minorHAnsi"/>
          <w:color w:val="auto"/>
          <w:sz w:val="24"/>
          <w:szCs w:val="24"/>
          <w:u w:val="none"/>
          <w:lang w:val="eu-ES"/>
        </w:rPr>
      </w:pPr>
      <w:hyperlink r:id="rId12" w:history="1">
        <w:r w:rsidR="005E22A9" w:rsidRPr="007B6984">
          <w:rPr>
            <w:rStyle w:val="Hipervnculo"/>
            <w:rFonts w:asciiTheme="minorHAnsi" w:hAnsiTheme="minorHAnsi" w:cstheme="minorHAnsi"/>
            <w:sz w:val="24"/>
            <w:szCs w:val="24"/>
            <w:lang w:val="eu-ES"/>
          </w:rPr>
          <w:t>https://pesnavarra.wordpress.com/</w:t>
        </w:r>
      </w:hyperlink>
    </w:p>
    <w:p w:rsidR="00153517" w:rsidRPr="007B6984" w:rsidRDefault="00995914" w:rsidP="00153517">
      <w:pPr>
        <w:tabs>
          <w:tab w:val="left" w:pos="720"/>
          <w:tab w:val="left" w:pos="2835"/>
          <w:tab w:val="left" w:pos="5529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eu-ES"/>
        </w:rPr>
      </w:pPr>
      <w:hyperlink r:id="rId13" w:history="1">
        <w:r w:rsidR="00153517" w:rsidRPr="005217DB">
          <w:rPr>
            <w:rStyle w:val="Hipervnculo"/>
            <w:rFonts w:asciiTheme="minorHAnsi" w:hAnsiTheme="minorHAnsi" w:cstheme="minorHAnsi"/>
            <w:sz w:val="24"/>
            <w:szCs w:val="24"/>
            <w:lang w:val="eu-ES"/>
          </w:rPr>
          <w:t>www.MarcaFinesSociales.com</w:t>
        </w:r>
      </w:hyperlink>
      <w:r w:rsidR="00153517">
        <w:rPr>
          <w:rFonts w:asciiTheme="minorHAnsi" w:hAnsiTheme="minorHAnsi" w:cstheme="minorHAnsi"/>
          <w:sz w:val="24"/>
          <w:szCs w:val="24"/>
          <w:lang w:val="eu-ES"/>
        </w:rPr>
        <w:t xml:space="preserve"> </w:t>
      </w:r>
    </w:p>
    <w:sectPr w:rsidR="00153517" w:rsidRPr="007B6984">
      <w:footerReference w:type="default" r:id="rId14"/>
      <w:pgSz w:w="11906" w:h="16838"/>
      <w:pgMar w:top="1417" w:right="1701" w:bottom="141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17" w:rsidRDefault="00274F17">
      <w:r>
        <w:separator/>
      </w:r>
    </w:p>
  </w:endnote>
  <w:endnote w:type="continuationSeparator" w:id="0">
    <w:p w:rsidR="00274F17" w:rsidRDefault="0027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066"/>
      <w:gridCol w:w="2156"/>
    </w:tblGrid>
    <w:tr w:rsidR="005E22A9">
      <w:tc>
        <w:tcPr>
          <w:tcW w:w="6066" w:type="dxa"/>
          <w:shd w:val="clear" w:color="auto" w:fill="auto"/>
        </w:tcPr>
        <w:p w:rsidR="005E22A9" w:rsidRDefault="005E22A9">
          <w:pPr>
            <w:suppressLineNumbers/>
          </w:pPr>
        </w:p>
      </w:tc>
      <w:tc>
        <w:tcPr>
          <w:tcW w:w="2156" w:type="dxa"/>
          <w:shd w:val="clear" w:color="auto" w:fill="auto"/>
          <w:vAlign w:val="center"/>
        </w:tcPr>
        <w:p w:rsidR="005E22A9" w:rsidRDefault="005E22A9">
          <w:pPr>
            <w:suppressLineNumbers/>
          </w:pPr>
        </w:p>
      </w:tc>
    </w:tr>
  </w:tbl>
  <w:p w:rsidR="005E22A9" w:rsidRDefault="00656F45" w:rsidP="00F350DA">
    <w:pPr>
      <w:pStyle w:val="Piedepgina"/>
      <w:jc w:val="center"/>
    </w:pPr>
    <w:r>
      <w:rPr>
        <w:rFonts w:ascii="Times New Roman" w:eastAsia="Times New Roman" w:hAnsi="Times New Roman"/>
        <w:noProof/>
        <w:sz w:val="24"/>
        <w:szCs w:val="24"/>
        <w:lang w:val="es-ES" w:eastAsia="es-ES"/>
      </w:rPr>
      <w:drawing>
        <wp:inline distT="0" distB="0" distL="0" distR="0">
          <wp:extent cx="5400675" cy="914400"/>
          <wp:effectExtent l="0" t="0" r="9525" b="0"/>
          <wp:docPr id="8" name="Imagen 8" descr="G:\2020\pes\Campaña IRPF\Material\logos campaña irpf 2020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2020\pes\Campaña IRPF\Material\logos campaña irpf 2020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17" w:rsidRDefault="00274F17">
      <w:r>
        <w:separator/>
      </w:r>
    </w:p>
  </w:footnote>
  <w:footnote w:type="continuationSeparator" w:id="0">
    <w:p w:rsidR="00274F17" w:rsidRDefault="0027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7B3AD484"/>
    <w:name w:val="WW8Num5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F50480"/>
    <w:multiLevelType w:val="multilevel"/>
    <w:tmpl w:val="BEC638D0"/>
    <w:lvl w:ilvl="0">
      <w:start w:val="13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253B88"/>
    <w:multiLevelType w:val="hybridMultilevel"/>
    <w:tmpl w:val="9996968E"/>
    <w:lvl w:ilvl="0" w:tplc="F3D6DFE2">
      <w:start w:val="1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13567"/>
    <w:multiLevelType w:val="multilevel"/>
    <w:tmpl w:val="F33863DA"/>
    <w:lvl w:ilvl="0">
      <w:start w:val="5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93C"/>
    <w:rsid w:val="000040A6"/>
    <w:rsid w:val="00007744"/>
    <w:rsid w:val="00022720"/>
    <w:rsid w:val="000A64BB"/>
    <w:rsid w:val="000B514A"/>
    <w:rsid w:val="0013567A"/>
    <w:rsid w:val="00153517"/>
    <w:rsid w:val="0027185B"/>
    <w:rsid w:val="00274F17"/>
    <w:rsid w:val="002E583D"/>
    <w:rsid w:val="003C4512"/>
    <w:rsid w:val="003D7CE3"/>
    <w:rsid w:val="003F3847"/>
    <w:rsid w:val="00411E84"/>
    <w:rsid w:val="004622AC"/>
    <w:rsid w:val="004D56B5"/>
    <w:rsid w:val="00501259"/>
    <w:rsid w:val="005E0442"/>
    <w:rsid w:val="005E22A9"/>
    <w:rsid w:val="005E4E48"/>
    <w:rsid w:val="005E4F3C"/>
    <w:rsid w:val="0062493C"/>
    <w:rsid w:val="006369F1"/>
    <w:rsid w:val="0064530F"/>
    <w:rsid w:val="00656F45"/>
    <w:rsid w:val="0065743B"/>
    <w:rsid w:val="00750636"/>
    <w:rsid w:val="0077401B"/>
    <w:rsid w:val="007B6984"/>
    <w:rsid w:val="007D3C0B"/>
    <w:rsid w:val="008528AD"/>
    <w:rsid w:val="0085617E"/>
    <w:rsid w:val="008E7F49"/>
    <w:rsid w:val="0096338C"/>
    <w:rsid w:val="00995914"/>
    <w:rsid w:val="00A31F48"/>
    <w:rsid w:val="00A64B0A"/>
    <w:rsid w:val="00AB0CBD"/>
    <w:rsid w:val="00B55500"/>
    <w:rsid w:val="00B830AC"/>
    <w:rsid w:val="00BC34B7"/>
    <w:rsid w:val="00C02877"/>
    <w:rsid w:val="00C1792F"/>
    <w:rsid w:val="00C82CA7"/>
    <w:rsid w:val="00CE3EFC"/>
    <w:rsid w:val="00CE793F"/>
    <w:rsid w:val="00CF2C85"/>
    <w:rsid w:val="00CF33F6"/>
    <w:rsid w:val="00CF77FE"/>
    <w:rsid w:val="00DD3428"/>
    <w:rsid w:val="00DF6FB0"/>
    <w:rsid w:val="00E0277B"/>
    <w:rsid w:val="00EF03B1"/>
    <w:rsid w:val="00F350DA"/>
    <w:rsid w:val="00FB3FD8"/>
    <w:rsid w:val="00FB4950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FC743CC"/>
  <w15:docId w15:val="{819AEE3D-9D95-4091-9D63-4398438E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1z1">
    <w:name w:val="WW8Num1z1"/>
    <w:rPr>
      <w:rFonts w:ascii="OpenSymbol" w:hAnsi="OpenSymbol" w:cs="Courier New"/>
      <w:sz w:val="20"/>
      <w:szCs w:val="22"/>
    </w:rPr>
  </w:style>
  <w:style w:type="character" w:customStyle="1" w:styleId="WW8Num2z0">
    <w:name w:val="WW8Num2z0"/>
    <w:rPr>
      <w:rFonts w:ascii="Tahoma" w:hAnsi="Tahoma" w:cs="Tahoma" w:hint="default"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Tahoma" w:eastAsia="Calibri" w:hAnsi="Tahoma" w:cs="Tahoma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ahoma" w:eastAsia="Calibri" w:hAnsi="Tahoma" w:cs="Tahoma" w:hint="default"/>
      <w:sz w:val="20"/>
      <w:szCs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customStyle="1" w:styleId="apple-converted-space">
    <w:name w:val="apple-converted-space"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customStyle="1" w:styleId="Contenidodelatabla">
    <w:name w:val="Contenido de la tabla"/>
    <w:basedOn w:val="Normal"/>
    <w:pPr>
      <w:suppressLineNumbers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Revisin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53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aFinesSociales.com" TargetMode="External"/><Relationship Id="rId13" Type="http://schemas.openxmlformats.org/officeDocument/2006/relationships/hyperlink" Target="http://www.MarcaFinesSocial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esnavarra.wordpres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icacion@redpobrez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G:\Downloads\D.%20COMUNICACI&#211;N\2020\www.hacienda.navarr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renta.nafarroa.eu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5320</CharactersWithSpaces>
  <SharedDoc>false</SharedDoc>
  <HLinks>
    <vt:vector size="12" baseType="variant"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https://pesnavarra.wordpress.com/</vt:lpwstr>
      </vt:variant>
      <vt:variant>
        <vt:lpwstr/>
      </vt:variant>
      <vt:variant>
        <vt:i4>9633804</vt:i4>
      </vt:variant>
      <vt:variant>
        <vt:i4>0</vt:i4>
      </vt:variant>
      <vt:variant>
        <vt:i4>0</vt:i4>
      </vt:variant>
      <vt:variant>
        <vt:i4>5</vt:i4>
      </vt:variant>
      <vt:variant>
        <vt:lpwstr>../../../../../../Downloads/D. COMUNICACIÓN/2020/www.hacienda.navarra.es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T450</cp:lastModifiedBy>
  <cp:revision>7</cp:revision>
  <cp:lastPrinted>1995-11-21T15:41:00Z</cp:lastPrinted>
  <dcterms:created xsi:type="dcterms:W3CDTF">2020-05-04T09:24:00Z</dcterms:created>
  <dcterms:modified xsi:type="dcterms:W3CDTF">2021-04-12T14:33:00Z</dcterms:modified>
</cp:coreProperties>
</file>