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F7" w:rsidRDefault="001169F7" w:rsidP="00335AFA">
      <w:pPr>
        <w:jc w:val="both"/>
        <w:rPr>
          <w:rFonts w:ascii="Arial" w:hAnsi="Arial" w:cs="Arial"/>
          <w:u w:val="single"/>
        </w:rPr>
      </w:pPr>
      <w:bookmarkStart w:id="0" w:name="_GoBack"/>
      <w:bookmarkEnd w:id="0"/>
      <w:r>
        <w:rPr>
          <w:noProof/>
          <w:lang w:val="es-ES_tradnl" w:eastAsia="es-ES_tradnl"/>
        </w:rPr>
        <w:drawing>
          <wp:inline distT="0" distB="0" distL="0" distR="0">
            <wp:extent cx="2526202" cy="552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6602" cy="554724"/>
                    </a:xfrm>
                    <a:prstGeom prst="rect">
                      <a:avLst/>
                    </a:prstGeom>
                    <a:noFill/>
                    <a:ln>
                      <a:noFill/>
                    </a:ln>
                  </pic:spPr>
                </pic:pic>
              </a:graphicData>
            </a:graphic>
          </wp:inline>
        </w:drawing>
      </w:r>
    </w:p>
    <w:p w:rsidR="001169F7" w:rsidRDefault="001169F7" w:rsidP="00335AFA">
      <w:pPr>
        <w:jc w:val="both"/>
        <w:rPr>
          <w:rFonts w:ascii="Arial" w:hAnsi="Arial" w:cs="Arial"/>
          <w:u w:val="single"/>
        </w:rPr>
      </w:pPr>
    </w:p>
    <w:p w:rsidR="001169F7" w:rsidRPr="001169F7" w:rsidRDefault="001169F7" w:rsidP="001169F7">
      <w:pPr>
        <w:jc w:val="center"/>
        <w:rPr>
          <w:rFonts w:asciiTheme="majorHAnsi" w:hAnsiTheme="majorHAnsi" w:cs="Arial"/>
          <w:b/>
          <w:color w:val="943634" w:themeColor="accent2" w:themeShade="BF"/>
          <w:sz w:val="36"/>
          <w:szCs w:val="36"/>
          <w:u w:val="single"/>
        </w:rPr>
      </w:pPr>
      <w:r w:rsidRPr="001169F7">
        <w:rPr>
          <w:rFonts w:asciiTheme="majorHAnsi" w:hAnsiTheme="majorHAnsi" w:cs="Arial"/>
          <w:b/>
          <w:color w:val="943634" w:themeColor="accent2" w:themeShade="BF"/>
          <w:sz w:val="36"/>
          <w:szCs w:val="36"/>
          <w:u w:val="single"/>
        </w:rPr>
        <w:t>CONVOCATORIA 2021 DE COOPERACIÓN TÉCNICA</w:t>
      </w:r>
    </w:p>
    <w:p w:rsidR="001169F7" w:rsidRDefault="001169F7" w:rsidP="00335AFA">
      <w:pPr>
        <w:jc w:val="both"/>
        <w:rPr>
          <w:rFonts w:ascii="Arial" w:hAnsi="Arial" w:cs="Arial"/>
          <w:u w:val="single"/>
        </w:rPr>
      </w:pPr>
    </w:p>
    <w:p w:rsidR="00335AFA" w:rsidRPr="001169F7" w:rsidRDefault="001169F7" w:rsidP="001169F7">
      <w:pPr>
        <w:pStyle w:val="Prrafodelista"/>
        <w:numPr>
          <w:ilvl w:val="0"/>
          <w:numId w:val="4"/>
        </w:numPr>
        <w:jc w:val="both"/>
        <w:rPr>
          <w:rFonts w:ascii="Arial" w:hAnsi="Arial" w:cs="Arial"/>
          <w:u w:val="single"/>
        </w:rPr>
      </w:pPr>
      <w:r w:rsidRPr="001169F7">
        <w:rPr>
          <w:rFonts w:ascii="Arial" w:hAnsi="Arial" w:cs="Arial"/>
          <w:u w:val="single"/>
        </w:rPr>
        <w:t>INTRODUCCIÓN</w:t>
      </w:r>
    </w:p>
    <w:p w:rsidR="00335AFA" w:rsidRPr="001169F7" w:rsidRDefault="00335AFA" w:rsidP="001169F7">
      <w:pPr>
        <w:jc w:val="both"/>
        <w:rPr>
          <w:rFonts w:ascii="Arial" w:hAnsi="Arial" w:cs="Arial"/>
        </w:rPr>
      </w:pPr>
      <w:r w:rsidRPr="001169F7">
        <w:rPr>
          <w:rFonts w:ascii="Arial" w:hAnsi="Arial" w:cs="Arial"/>
        </w:rPr>
        <w:t>La Ley Foral 5/2001, de 9 de marzo, de Cooperación al Desarrollo establece la cooperación técnica como una de las modalidades de actuación  para llevar a la práctica el desarrollo de la política de cooperación.</w:t>
      </w:r>
    </w:p>
    <w:p w:rsidR="00335AFA" w:rsidRPr="001169F7" w:rsidRDefault="00335AFA" w:rsidP="001169F7">
      <w:pPr>
        <w:jc w:val="both"/>
        <w:rPr>
          <w:rFonts w:ascii="Arial" w:hAnsi="Arial" w:cs="Arial"/>
        </w:rPr>
      </w:pPr>
      <w:r w:rsidRPr="001169F7">
        <w:rPr>
          <w:rFonts w:ascii="Arial" w:hAnsi="Arial" w:cs="Arial"/>
        </w:rPr>
        <w:t>Hasta el año 2012 y en periodos de vigencia del I y II Plan Director se desarrollaron convocatorias de cooperación técnica en diversos formatos.</w:t>
      </w:r>
    </w:p>
    <w:p w:rsidR="00335AFA" w:rsidRPr="001169F7" w:rsidRDefault="00335AFA" w:rsidP="001169F7">
      <w:pPr>
        <w:jc w:val="both"/>
        <w:rPr>
          <w:rFonts w:ascii="Arial" w:hAnsi="Arial" w:cs="Arial"/>
        </w:rPr>
      </w:pPr>
      <w:r w:rsidRPr="001169F7">
        <w:rPr>
          <w:rFonts w:ascii="Arial" w:hAnsi="Arial" w:cs="Arial"/>
        </w:rPr>
        <w:t>El III Plan Director de la Cooperación Navarra (2021-2024) prevé relanzar esta modalidad articulada a través de la acción directa del Gobierno de Navarra o también a través del fomento de esta modalidad entre los age</w:t>
      </w:r>
      <w:r w:rsidR="001169F7" w:rsidRPr="001169F7">
        <w:rPr>
          <w:rFonts w:ascii="Arial" w:hAnsi="Arial" w:cs="Arial"/>
        </w:rPr>
        <w:t>ntes de la cooperación navarra.</w:t>
      </w:r>
    </w:p>
    <w:p w:rsidR="00335AFA" w:rsidRPr="001169F7" w:rsidRDefault="00335AFA" w:rsidP="001169F7">
      <w:pPr>
        <w:jc w:val="both"/>
        <w:rPr>
          <w:rFonts w:ascii="Arial" w:hAnsi="Arial" w:cs="Arial"/>
        </w:rPr>
      </w:pPr>
      <w:r w:rsidRPr="001169F7">
        <w:rPr>
          <w:rFonts w:ascii="Arial" w:hAnsi="Arial" w:cs="Arial"/>
        </w:rPr>
        <w:t xml:space="preserve">Así, para este año 2021 se pretende relanzar la implementación de esta modalidad de cooperación técnica con una convocatoria de proyectos de actores especializados. </w:t>
      </w:r>
    </w:p>
    <w:p w:rsidR="00335AFA" w:rsidRPr="001169F7" w:rsidRDefault="001169F7" w:rsidP="001169F7">
      <w:pPr>
        <w:pStyle w:val="Prrafodelista"/>
        <w:numPr>
          <w:ilvl w:val="0"/>
          <w:numId w:val="4"/>
        </w:numPr>
        <w:rPr>
          <w:rFonts w:ascii="Arial" w:hAnsi="Arial" w:cs="Arial"/>
          <w:u w:val="single"/>
        </w:rPr>
      </w:pPr>
      <w:r w:rsidRPr="001169F7">
        <w:rPr>
          <w:rFonts w:ascii="Arial" w:hAnsi="Arial" w:cs="Arial"/>
          <w:u w:val="single"/>
        </w:rPr>
        <w:t>CARACTERÍSTICAS DE LA CONVOCATORIA:</w:t>
      </w:r>
    </w:p>
    <w:p w:rsidR="0097563A" w:rsidRPr="001169F7" w:rsidRDefault="0097563A" w:rsidP="0097563A">
      <w:pPr>
        <w:jc w:val="both"/>
        <w:rPr>
          <w:rFonts w:ascii="Arial" w:eastAsia="Times New Roman" w:hAnsi="Arial" w:cs="Arial"/>
          <w:lang w:eastAsia="es-ES"/>
        </w:rPr>
      </w:pPr>
      <w:r w:rsidRPr="001169F7">
        <w:rPr>
          <w:rFonts w:ascii="Arial" w:eastAsia="Times New Roman" w:hAnsi="Arial" w:cs="Arial"/>
          <w:lang w:eastAsia="es-ES"/>
        </w:rPr>
        <w:t>Se señalan los aspectos de la convocatoria en las que se dan especificidades diferenciadas relacionadas con la Modalidad D) Cooperación Técnica, el resto del contenido de las Bases, es igual que el resto de modalidades.</w:t>
      </w:r>
    </w:p>
    <w:p w:rsidR="0028223A" w:rsidRPr="001169F7" w:rsidRDefault="0097563A" w:rsidP="0097563A">
      <w:pPr>
        <w:jc w:val="both"/>
        <w:rPr>
          <w:rFonts w:ascii="Arial" w:eastAsia="Times New Roman" w:hAnsi="Arial" w:cs="Arial"/>
          <w:u w:val="single"/>
          <w:lang w:eastAsia="es-ES"/>
        </w:rPr>
      </w:pPr>
      <w:r w:rsidRPr="001169F7">
        <w:rPr>
          <w:rFonts w:ascii="Arial" w:eastAsia="Times New Roman" w:hAnsi="Arial" w:cs="Arial"/>
          <w:lang w:eastAsia="es-ES"/>
        </w:rPr>
        <w:t>Lo indicado al final del documento relacionado con prioridades transversales (enfoques) y sectoriales, es igual para todas las modalidades. Se aportan por ser diferentes a lo indicado en años anteriores.</w:t>
      </w:r>
    </w:p>
    <w:p w:rsidR="004B53C7" w:rsidRPr="001169F7" w:rsidRDefault="0028223A">
      <w:pPr>
        <w:rPr>
          <w:rFonts w:ascii="Arial" w:eastAsia="Times New Roman" w:hAnsi="Arial" w:cs="Arial"/>
          <w:u w:val="single"/>
          <w:lang w:eastAsia="es-ES"/>
        </w:rPr>
      </w:pPr>
      <w:r w:rsidRPr="001169F7">
        <w:rPr>
          <w:rFonts w:ascii="Arial" w:eastAsia="Times New Roman" w:hAnsi="Arial" w:cs="Arial"/>
          <w:u w:val="single"/>
          <w:lang w:eastAsia="es-ES"/>
        </w:rPr>
        <w:t>Objeto y Finalidad:</w:t>
      </w:r>
    </w:p>
    <w:p w:rsidR="0028223A" w:rsidRPr="001169F7" w:rsidRDefault="0028223A" w:rsidP="0028223A">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 xml:space="preserve">Modalidad D) Proyectos de Cooperación Técnica: son intervenciones de asesoramiento que un equipo técnico mayoritariamente formado por miembros de la Entidad Solicitante realiza en un país socio y cuya finalidad es promover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los actores de cooperación. </w:t>
      </w:r>
    </w:p>
    <w:p w:rsidR="0028223A" w:rsidRPr="001169F7" w:rsidRDefault="0028223A" w:rsidP="0028223A">
      <w:pPr>
        <w:pStyle w:val="NormalWeb"/>
        <w:spacing w:before="0" w:beforeAutospacing="0" w:after="120" w:afterAutospacing="0"/>
        <w:jc w:val="both"/>
        <w:rPr>
          <w:rFonts w:ascii="Arial" w:hAnsi="Arial" w:cs="Arial"/>
          <w:sz w:val="22"/>
          <w:szCs w:val="22"/>
        </w:rPr>
      </w:pPr>
    </w:p>
    <w:p w:rsidR="0028223A" w:rsidRPr="001169F7" w:rsidRDefault="0028223A" w:rsidP="0028223A">
      <w:pPr>
        <w:pStyle w:val="NormalWeb"/>
        <w:spacing w:before="0" w:beforeAutospacing="0" w:after="120" w:afterAutospacing="0"/>
        <w:jc w:val="both"/>
        <w:rPr>
          <w:rFonts w:ascii="Arial" w:hAnsi="Arial" w:cs="Arial"/>
          <w:sz w:val="22"/>
          <w:szCs w:val="22"/>
          <w:u w:val="single"/>
        </w:rPr>
      </w:pPr>
      <w:r w:rsidRPr="001169F7">
        <w:rPr>
          <w:rFonts w:ascii="Arial" w:hAnsi="Arial" w:cs="Arial"/>
          <w:sz w:val="22"/>
          <w:szCs w:val="22"/>
          <w:u w:val="single"/>
        </w:rPr>
        <w:t>Requisitos de las Entidades:</w:t>
      </w:r>
    </w:p>
    <w:p w:rsidR="0028223A" w:rsidRPr="001169F7" w:rsidRDefault="0028223A" w:rsidP="0028223A">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Podrán concurrir las ONGD y otros actores de cooperación especializados en la materia.</w:t>
      </w:r>
    </w:p>
    <w:p w:rsidR="0028223A" w:rsidRPr="001169F7" w:rsidRDefault="0028223A" w:rsidP="0028223A">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lastRenderedPageBreak/>
        <w:t>Deberán ser persona jurídica legalmente constituida de conformidad con su naturaleza jurídica. En el caso de adoptar la forma de Organización No Gubernamental de Desarrollo deberá estar inscrita, a fecha de finalización del plazo de presentación de solicitudes, en el Registro de Organizaciones No Gubernamentales de Desarrollo de la Agencia Española de Cooperación Internacional para el Desarrollo (AECID).</w:t>
      </w:r>
    </w:p>
    <w:p w:rsidR="0028223A" w:rsidRPr="001169F7" w:rsidRDefault="0028223A" w:rsidP="0028223A">
      <w:pPr>
        <w:pStyle w:val="NormalWeb"/>
        <w:spacing w:before="0" w:beforeAutospacing="0" w:after="120" w:afterAutospacing="0"/>
        <w:jc w:val="both"/>
        <w:rPr>
          <w:rFonts w:ascii="Arial" w:hAnsi="Arial" w:cs="Arial"/>
          <w:sz w:val="22"/>
          <w:szCs w:val="22"/>
        </w:rPr>
      </w:pPr>
    </w:p>
    <w:p w:rsidR="0028223A" w:rsidRPr="001169F7" w:rsidRDefault="0028223A" w:rsidP="0028223A">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El resto de requisitos comunes a todas las modalidades si</w:t>
      </w:r>
      <w:r w:rsidR="00DA5455" w:rsidRPr="001169F7">
        <w:rPr>
          <w:rFonts w:ascii="Arial" w:hAnsi="Arial" w:cs="Arial"/>
          <w:sz w:val="22"/>
          <w:szCs w:val="22"/>
        </w:rPr>
        <w:t>n</w:t>
      </w:r>
      <w:r w:rsidRPr="001169F7">
        <w:rPr>
          <w:rFonts w:ascii="Arial" w:hAnsi="Arial" w:cs="Arial"/>
          <w:sz w:val="22"/>
          <w:szCs w:val="22"/>
        </w:rPr>
        <w:t xml:space="preserve"> variación en relación a años anteriores.</w:t>
      </w:r>
    </w:p>
    <w:p w:rsidR="0028223A" w:rsidRPr="001169F7" w:rsidRDefault="0028223A" w:rsidP="0028223A">
      <w:pPr>
        <w:pStyle w:val="NormalWeb"/>
        <w:spacing w:before="0" w:beforeAutospacing="0" w:after="120" w:afterAutospacing="0"/>
        <w:jc w:val="both"/>
        <w:rPr>
          <w:rFonts w:ascii="Arial" w:hAnsi="Arial" w:cs="Arial"/>
          <w:sz w:val="22"/>
          <w:szCs w:val="22"/>
        </w:rPr>
      </w:pPr>
    </w:p>
    <w:p w:rsidR="0028223A" w:rsidRPr="001169F7" w:rsidRDefault="0028223A" w:rsidP="0028223A">
      <w:pPr>
        <w:rPr>
          <w:rFonts w:ascii="Arial" w:eastAsia="Times New Roman" w:hAnsi="Arial" w:cs="Arial"/>
          <w:u w:val="single"/>
          <w:lang w:eastAsia="es-ES"/>
        </w:rPr>
      </w:pPr>
      <w:r w:rsidRPr="001169F7">
        <w:rPr>
          <w:rFonts w:ascii="Arial" w:eastAsia="Times New Roman" w:hAnsi="Arial" w:cs="Arial"/>
          <w:u w:val="single"/>
          <w:lang w:eastAsia="es-ES"/>
        </w:rPr>
        <w:t xml:space="preserve">Requisitos de las intervenciones. </w:t>
      </w:r>
    </w:p>
    <w:p w:rsidR="0028223A" w:rsidRPr="001169F7" w:rsidRDefault="0028223A" w:rsidP="0028223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Iniciar las actividades en 2021. Se entenderá como fecha de inicio la de la Resolución de concesión, salvo comunicación expresa por parte de la Entidad beneficiaria de fecha anterior. Deberán ejecutarse en un plazo máximo de un año a partir de la fecha de inicio. Todo ello sin perjuicio de las posibles prórrogas que se puedan solicitar.</w:t>
      </w:r>
    </w:p>
    <w:p w:rsidR="0028223A" w:rsidRPr="001169F7" w:rsidRDefault="0028223A" w:rsidP="0028223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Cuantía máxima por solicitud: 40.000 euros.</w:t>
      </w:r>
    </w:p>
    <w:p w:rsidR="00DA5455" w:rsidRPr="001169F7" w:rsidRDefault="0028223A" w:rsidP="0028223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Las intervenciones deberán realizarse en al menos uno de los países o pueblos siguientes: Bolivia, Colombia, Ecuador, El Salvador, Guatemala, Haití, India, Mali, Mozambique, Nicaragua, Perú, R.D. del Congo, Ruanda, Pueblo Palestino.</w:t>
      </w:r>
    </w:p>
    <w:p w:rsidR="009B42BB" w:rsidRPr="001169F7" w:rsidRDefault="00DA5455" w:rsidP="0028223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Se incluye para esta modalidad de cooperación técnica a nivel de todo el país a aquellos que el III Plan Director marcar como prioridad Regional con el objetivo de seguir fortaleciendo las capacidades en aquellas zonas que se ha estado presente en intervenciones económicas pero que ya no están como regiones prioritarias (Colombia, Ecuador, Perú e india).</w:t>
      </w:r>
    </w:p>
    <w:p w:rsidR="009B42BB" w:rsidRPr="001169F7" w:rsidRDefault="009B42BB" w:rsidP="0028223A">
      <w:pPr>
        <w:spacing w:after="12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Documentación a presentar</w:t>
      </w:r>
    </w:p>
    <w:p w:rsidR="009B42BB" w:rsidRPr="001169F7" w:rsidRDefault="009B42BB" w:rsidP="009B42BB">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Memoria Técnica, máximo 50 páginas valorables.</w:t>
      </w:r>
    </w:p>
    <w:p w:rsidR="00F00595" w:rsidRPr="001169F7" w:rsidRDefault="009B42BB" w:rsidP="009B42BB">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Además de la documentación común al resto de modalidades se acompañará de</w:t>
      </w:r>
      <w:r w:rsidR="00F00595" w:rsidRPr="001169F7">
        <w:rPr>
          <w:rFonts w:ascii="Arial" w:hAnsi="Arial" w:cs="Arial"/>
          <w:sz w:val="22"/>
          <w:szCs w:val="22"/>
        </w:rPr>
        <w:t>:</w:t>
      </w:r>
    </w:p>
    <w:p w:rsidR="009B42BB" w:rsidRPr="001169F7" w:rsidRDefault="009B42BB" w:rsidP="009B42BB">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ab/>
        <w:t>.- Petición expresa de la organización receptora de la cooperación técnica, que tendrá la consideración de socio o contraparte local, en la que constará al menos la necesidad específica de refuerzo de capacidades objeto del proyecto, detalle del modo como se desea que se lleve a cabo, características de las personas y de la organización susceptible de recibir la asistencia, y el motivo por el cual se solicita la cooperación técnica. Esta petición se acompañará del modelo de convenio o contrato que suscribirá la entidad solicitante y su socio local. Está documentación estará firmada por el representante legal del socio local.</w:t>
      </w:r>
    </w:p>
    <w:p w:rsidR="009B42BB" w:rsidRPr="001169F7" w:rsidRDefault="009B42BB" w:rsidP="009B42BB">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ab/>
        <w:t>.-Currículum detallado (formación académica, experiencia laboral y publicaciones) de cada uno de los miembros del equipo asesor.</w:t>
      </w:r>
    </w:p>
    <w:p w:rsidR="009B42BB" w:rsidRPr="001169F7" w:rsidRDefault="009B42BB" w:rsidP="009B42BB">
      <w:pPr>
        <w:pStyle w:val="NormalWeb"/>
        <w:spacing w:before="0" w:beforeAutospacing="0" w:after="120" w:afterAutospacing="0"/>
        <w:jc w:val="both"/>
        <w:rPr>
          <w:rFonts w:ascii="Arial" w:hAnsi="Arial" w:cs="Arial"/>
          <w:sz w:val="22"/>
          <w:szCs w:val="22"/>
        </w:rPr>
      </w:pPr>
    </w:p>
    <w:p w:rsidR="009B42BB" w:rsidRPr="001169F7" w:rsidRDefault="009B42BB" w:rsidP="009B42BB">
      <w:pPr>
        <w:spacing w:after="12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Valoración y determinación de la cuantía de la subvención</w:t>
      </w:r>
    </w:p>
    <w:p w:rsidR="001169F7" w:rsidRPr="001169F7" w:rsidRDefault="009B42BB" w:rsidP="001169F7">
      <w:pPr>
        <w:pStyle w:val="NormalWeb"/>
        <w:spacing w:before="0" w:beforeAutospacing="0" w:after="120" w:afterAutospacing="0"/>
        <w:jc w:val="both"/>
        <w:rPr>
          <w:rFonts w:ascii="Arial" w:hAnsi="Arial" w:cs="Arial"/>
          <w:sz w:val="22"/>
          <w:szCs w:val="22"/>
        </w:rPr>
      </w:pPr>
      <w:r w:rsidRPr="001169F7">
        <w:rPr>
          <w:rFonts w:ascii="Arial" w:hAnsi="Arial" w:cs="Arial"/>
          <w:sz w:val="22"/>
          <w:szCs w:val="22"/>
        </w:rPr>
        <w:t xml:space="preserve">Para ser estimada la solicitud de subvención, la intervención deberá alcanzar al menos 500 puntos en conjunto. Además, para estimarse deberá obtener en el apartado de “Idoneidad con los Enfoques Transversales de la Cooperación Navarra” </w:t>
      </w:r>
      <w:r w:rsidR="00C529D6" w:rsidRPr="001169F7">
        <w:rPr>
          <w:rFonts w:ascii="Arial" w:hAnsi="Arial" w:cs="Arial"/>
          <w:sz w:val="22"/>
          <w:szCs w:val="22"/>
        </w:rPr>
        <w:t>al menos 50 puntos.</w:t>
      </w:r>
    </w:p>
    <w:p w:rsidR="00C529D6" w:rsidRPr="001169F7" w:rsidRDefault="00C529D6" w:rsidP="00C529D6">
      <w:pPr>
        <w:spacing w:after="12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Criterios de Valoración</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a. Pertinencia institucion</w:t>
      </w:r>
      <w:r w:rsidR="00AD7FDA" w:rsidRPr="001169F7">
        <w:rPr>
          <w:rFonts w:ascii="Arial" w:eastAsia="Times New Roman" w:hAnsi="Arial" w:cs="Arial"/>
          <w:lang w:eastAsia="es-ES"/>
        </w:rPr>
        <w:t>al de la entidad solicitante (hasta 300 puntos</w:t>
      </w:r>
      <w:r w:rsidRPr="001169F7">
        <w:rPr>
          <w:rFonts w:ascii="Arial" w:eastAsia="Times New Roman" w:hAnsi="Arial" w:cs="Arial"/>
          <w:lang w:eastAsia="es-ES"/>
        </w:rPr>
        <w:t xml:space="preserve">): </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a.1. Capacidad financiera (hasta 40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lastRenderedPageBreak/>
        <w:t>a.2. Capacidad estratégica (hasta 60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a.3. Capacidad operativa (hasta 100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a.4. Capacidad operativa del equipo técnico (hasta 100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En el caso de agrupaciones de entidades, se valorará todo ello para el representante de la agrupación y se multiplicará por 1,2 si la agrupación es de 2 entidades y por 1,4 en otros casos, hasta el límite de los 300 puntos.</w:t>
      </w:r>
    </w:p>
    <w:p w:rsidR="001169F7" w:rsidRPr="001169F7" w:rsidRDefault="001169F7" w:rsidP="001169F7">
      <w:pPr>
        <w:spacing w:after="120" w:line="240" w:lineRule="auto"/>
        <w:jc w:val="both"/>
        <w:rPr>
          <w:rFonts w:ascii="Arial" w:hAnsi="Arial" w:cs="Arial"/>
          <w:i/>
          <w:color w:val="000000"/>
        </w:rPr>
      </w:pPr>
      <w:r w:rsidRPr="001169F7">
        <w:rPr>
          <w:rFonts w:ascii="Arial" w:eastAsia="Times New Roman" w:hAnsi="Arial" w:cs="Arial"/>
          <w:i/>
          <w:lang w:eastAsia="es-ES"/>
        </w:rPr>
        <w:t>(</w:t>
      </w:r>
      <w:r w:rsidRPr="001169F7">
        <w:rPr>
          <w:rFonts w:ascii="Arial" w:hAnsi="Arial" w:cs="Arial"/>
          <w:i/>
          <w:color w:val="000000"/>
        </w:rPr>
        <w:t>Sólo se valora la entidad solicitante (o su agrupación), puesto que la Cooperación Técnica es llevada a cabo por ella, con independencia que la identificación de la demanda sea realizada por la entidad beneficiaria final de la intervención. Además se considera que debe ser una entidad con experiencia y capacidad ya acreditada)</w:t>
      </w:r>
    </w:p>
    <w:p w:rsidR="00C529D6" w:rsidRPr="001169F7" w:rsidRDefault="00C529D6" w:rsidP="00C529D6">
      <w:pPr>
        <w:spacing w:after="120" w:line="240" w:lineRule="auto"/>
        <w:jc w:val="both"/>
        <w:rPr>
          <w:rFonts w:ascii="Arial" w:eastAsia="Times New Roman" w:hAnsi="Arial" w:cs="Arial"/>
          <w:lang w:eastAsia="es-ES"/>
        </w:rPr>
      </w:pP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b. Calidad técnica de la intervención (</w:t>
      </w:r>
      <w:r w:rsidR="00AD7FDA" w:rsidRPr="001169F7">
        <w:rPr>
          <w:rFonts w:ascii="Arial" w:eastAsia="Times New Roman" w:hAnsi="Arial" w:cs="Arial"/>
          <w:lang w:eastAsia="es-ES"/>
        </w:rPr>
        <w:t xml:space="preserve">hasta </w:t>
      </w:r>
      <w:r w:rsidRPr="001169F7">
        <w:rPr>
          <w:rFonts w:ascii="Arial" w:eastAsia="Times New Roman" w:hAnsi="Arial" w:cs="Arial"/>
          <w:lang w:eastAsia="es-ES"/>
        </w:rPr>
        <w:t>45</w:t>
      </w:r>
      <w:r w:rsidR="00AD7FDA" w:rsidRPr="001169F7">
        <w:rPr>
          <w:rFonts w:ascii="Arial" w:eastAsia="Times New Roman" w:hAnsi="Arial" w:cs="Arial"/>
          <w:lang w:eastAsia="es-ES"/>
        </w:rPr>
        <w:t>0 puntos</w:t>
      </w:r>
      <w:r w:rsidRPr="001169F7">
        <w:rPr>
          <w:rFonts w:ascii="Arial" w:eastAsia="Times New Roman" w:hAnsi="Arial" w:cs="Arial"/>
          <w:lang w:eastAsia="es-ES"/>
        </w:rPr>
        <w:t>):</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b.1 Análisis de Objetivos, Resultados y Actividades (hasta 100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b.2 Pertinencia de los indicadores y fuentes de verificación (hasta 50 puntos)</w:t>
      </w:r>
    </w:p>
    <w:p w:rsidR="00C529D6" w:rsidRPr="001169F7" w:rsidRDefault="00C529D6" w:rsidP="00C529D6">
      <w:pPr>
        <w:spacing w:after="120" w:line="240" w:lineRule="auto"/>
        <w:jc w:val="both"/>
        <w:rPr>
          <w:rFonts w:ascii="Arial" w:eastAsia="Times New Roman" w:hAnsi="Arial" w:cs="Arial"/>
          <w:color w:val="FF0000"/>
          <w:lang w:eastAsia="es-ES"/>
        </w:rPr>
      </w:pPr>
      <w:r w:rsidRPr="001169F7">
        <w:rPr>
          <w:rFonts w:ascii="Arial" w:eastAsia="Times New Roman" w:hAnsi="Arial" w:cs="Arial"/>
          <w:lang w:eastAsia="es-ES"/>
        </w:rPr>
        <w:t>b.3 Análisis de los recursos</w:t>
      </w:r>
      <w:r w:rsidR="00DA5455" w:rsidRPr="001169F7">
        <w:rPr>
          <w:rFonts w:ascii="Arial" w:eastAsia="Times New Roman" w:hAnsi="Arial" w:cs="Arial"/>
          <w:lang w:eastAsia="es-ES"/>
        </w:rPr>
        <w:t xml:space="preserve"> técnicos y económicos (hasta 12</w:t>
      </w:r>
      <w:r w:rsidRPr="001169F7">
        <w:rPr>
          <w:rFonts w:ascii="Arial" w:eastAsia="Times New Roman" w:hAnsi="Arial" w:cs="Arial"/>
          <w:lang w:eastAsia="es-ES"/>
        </w:rPr>
        <w:t>0 puntos)</w:t>
      </w:r>
      <w:r w:rsidRPr="001169F7">
        <w:rPr>
          <w:rFonts w:ascii="Arial" w:eastAsia="Times New Roman" w:hAnsi="Arial" w:cs="Arial"/>
          <w:color w:val="FF0000"/>
          <w:lang w:eastAsia="es-ES"/>
        </w:rPr>
        <w:t xml:space="preserve"> </w:t>
      </w:r>
    </w:p>
    <w:p w:rsidR="00C529D6" w:rsidRPr="001169F7" w:rsidRDefault="00C529D6" w:rsidP="00C529D6">
      <w:pPr>
        <w:spacing w:after="120" w:line="240" w:lineRule="auto"/>
        <w:jc w:val="both"/>
        <w:rPr>
          <w:rFonts w:ascii="Arial" w:eastAsia="Times New Roman" w:hAnsi="Arial" w:cs="Arial"/>
          <w:color w:val="FF0000"/>
          <w:lang w:eastAsia="es-ES"/>
        </w:rPr>
      </w:pPr>
      <w:r w:rsidRPr="001169F7">
        <w:rPr>
          <w:rFonts w:ascii="Arial" w:eastAsia="Times New Roman" w:hAnsi="Arial" w:cs="Arial"/>
          <w:lang w:eastAsia="es-ES"/>
        </w:rPr>
        <w:t xml:space="preserve">b.4. Análisis de la viabilidad, cofinanciación y otras aportaciones; riesgos o factores externos (hasta </w:t>
      </w:r>
      <w:r w:rsidR="00DA5455" w:rsidRPr="001169F7">
        <w:rPr>
          <w:rFonts w:ascii="Arial" w:eastAsia="Times New Roman" w:hAnsi="Arial" w:cs="Arial"/>
          <w:lang w:eastAsia="es-ES"/>
        </w:rPr>
        <w:t>75</w:t>
      </w:r>
      <w:r w:rsidRPr="001169F7">
        <w:rPr>
          <w:rFonts w:ascii="Arial" w:eastAsia="Times New Roman" w:hAnsi="Arial" w:cs="Arial"/>
          <w:lang w:eastAsia="es-ES"/>
        </w:rPr>
        <w:t xml:space="preserve"> puntos) </w:t>
      </w:r>
    </w:p>
    <w:p w:rsidR="00C529D6" w:rsidRPr="001169F7" w:rsidRDefault="00C529D6" w:rsidP="00C529D6">
      <w:pPr>
        <w:spacing w:after="120" w:line="240" w:lineRule="auto"/>
        <w:jc w:val="both"/>
        <w:rPr>
          <w:rFonts w:ascii="Arial" w:eastAsia="Times New Roman" w:hAnsi="Arial" w:cs="Arial"/>
          <w:color w:val="FF0000"/>
          <w:lang w:eastAsia="es-ES"/>
        </w:rPr>
      </w:pPr>
      <w:r w:rsidRPr="001169F7">
        <w:rPr>
          <w:rFonts w:ascii="Arial" w:eastAsia="Times New Roman" w:hAnsi="Arial" w:cs="Arial"/>
          <w:lang w:eastAsia="es-ES"/>
        </w:rPr>
        <w:t xml:space="preserve">b5. Metodología (hasta </w:t>
      </w:r>
      <w:r w:rsidR="00DA5455" w:rsidRPr="001169F7">
        <w:rPr>
          <w:rFonts w:ascii="Arial" w:eastAsia="Times New Roman" w:hAnsi="Arial" w:cs="Arial"/>
          <w:lang w:eastAsia="es-ES"/>
        </w:rPr>
        <w:t>75</w:t>
      </w:r>
      <w:r w:rsidRPr="001169F7">
        <w:rPr>
          <w:rFonts w:ascii="Arial" w:eastAsia="Times New Roman" w:hAnsi="Arial" w:cs="Arial"/>
          <w:lang w:eastAsia="es-ES"/>
        </w:rPr>
        <w:t xml:space="preserve"> puntos) </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b.6 Vínculos entre la zona de intervenci</w:t>
      </w:r>
      <w:r w:rsidR="00AD7FDA" w:rsidRPr="001169F7">
        <w:rPr>
          <w:rFonts w:ascii="Arial" w:eastAsia="Times New Roman" w:hAnsi="Arial" w:cs="Arial"/>
          <w:lang w:eastAsia="es-ES"/>
        </w:rPr>
        <w:t>ón y</w:t>
      </w:r>
      <w:r w:rsidRPr="001169F7">
        <w:rPr>
          <w:rFonts w:ascii="Arial" w:eastAsia="Times New Roman" w:hAnsi="Arial" w:cs="Arial"/>
          <w:lang w:eastAsia="es-ES"/>
        </w:rPr>
        <w:t xml:space="preserve"> Navarra. 30</w:t>
      </w:r>
    </w:p>
    <w:p w:rsidR="00C529D6" w:rsidRPr="001169F7" w:rsidRDefault="00C529D6" w:rsidP="00C529D6">
      <w:pPr>
        <w:spacing w:after="120" w:line="240" w:lineRule="auto"/>
        <w:jc w:val="both"/>
        <w:rPr>
          <w:rFonts w:ascii="Arial" w:eastAsia="Times New Roman" w:hAnsi="Arial" w:cs="Arial"/>
          <w:lang w:eastAsia="es-ES"/>
        </w:rPr>
      </w:pP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 xml:space="preserve">c. Idoneidad con los Enfoques Transversales y con las prioridades sectoriales </w:t>
      </w:r>
      <w:r w:rsidR="00AD7FDA" w:rsidRPr="001169F7">
        <w:rPr>
          <w:rFonts w:ascii="Arial" w:eastAsia="Times New Roman" w:hAnsi="Arial" w:cs="Arial"/>
          <w:lang w:eastAsia="es-ES"/>
        </w:rPr>
        <w:t xml:space="preserve"> (Hasta 200 puntos.</w:t>
      </w:r>
      <w:r w:rsidRPr="001169F7">
        <w:rPr>
          <w:rFonts w:ascii="Arial" w:eastAsia="Times New Roman" w:hAnsi="Arial" w:cs="Arial"/>
          <w:lang w:eastAsia="es-ES"/>
        </w:rPr>
        <w:t xml:space="preserve">): </w:t>
      </w:r>
    </w:p>
    <w:p w:rsidR="00C529D6" w:rsidRPr="001169F7" w:rsidRDefault="00C529D6" w:rsidP="00C529D6">
      <w:pPr>
        <w:spacing w:after="120" w:line="240" w:lineRule="auto"/>
        <w:jc w:val="both"/>
        <w:rPr>
          <w:rFonts w:ascii="Arial" w:eastAsia="Times New Roman" w:hAnsi="Arial" w:cs="Arial"/>
          <w:color w:val="FF0000"/>
          <w:lang w:eastAsia="es-ES"/>
        </w:rPr>
      </w:pPr>
      <w:r w:rsidRPr="001169F7">
        <w:rPr>
          <w:rFonts w:ascii="Arial" w:eastAsia="Times New Roman" w:hAnsi="Arial" w:cs="Arial"/>
          <w:lang w:eastAsia="es-ES"/>
        </w:rPr>
        <w:t xml:space="preserve">c.1. Idoneidad con los Enfoques Transversales de la Cooperación Navarra (hasta 100 puntos): </w:t>
      </w:r>
    </w:p>
    <w:p w:rsidR="00C529D6" w:rsidRPr="001169F7" w:rsidRDefault="00C529D6" w:rsidP="00C529D6">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Enfoque de Género (hasta 25 puntos):</w:t>
      </w:r>
    </w:p>
    <w:p w:rsidR="00C529D6" w:rsidRPr="001169F7" w:rsidRDefault="00C529D6" w:rsidP="00C529D6">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 xml:space="preserve"> Enfoque Basado en Derechos Humanos (hasta 25 puntos):</w:t>
      </w:r>
    </w:p>
    <w:p w:rsidR="00C529D6" w:rsidRPr="001169F7" w:rsidRDefault="00C529D6" w:rsidP="00C529D6">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 xml:space="preserve"> Diversidad Cultural (hasta 25 puntos):</w:t>
      </w:r>
    </w:p>
    <w:p w:rsidR="00C529D6" w:rsidRPr="001169F7" w:rsidRDefault="00C529D6" w:rsidP="00C529D6">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 xml:space="preserve"> Sostenibilidad Medioambiental (hasta 25 puntos):</w:t>
      </w: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c.2. Idoneidad con las prioridades sectoriales (hasta 100 puntos).</w:t>
      </w:r>
    </w:p>
    <w:p w:rsidR="00B5249C" w:rsidRPr="001169F7" w:rsidRDefault="00B5249C" w:rsidP="00B5249C">
      <w:pPr>
        <w:numPr>
          <w:ilvl w:val="0"/>
          <w:numId w:val="2"/>
        </w:numPr>
        <w:spacing w:after="120" w:line="240" w:lineRule="auto"/>
        <w:jc w:val="both"/>
        <w:rPr>
          <w:rFonts w:ascii="Arial" w:eastAsia="Times New Roman" w:hAnsi="Arial" w:cs="Arial"/>
          <w:lang w:eastAsia="es-ES"/>
        </w:rPr>
      </w:pPr>
      <w:r w:rsidRPr="001169F7">
        <w:rPr>
          <w:rFonts w:ascii="Arial" w:eastAsia="Times New Roman" w:hAnsi="Arial" w:cs="Arial"/>
          <w:lang w:eastAsia="es-ES"/>
        </w:rPr>
        <w:t>Derecho a la salud (hasta 100 puntos)</w:t>
      </w:r>
    </w:p>
    <w:p w:rsidR="00B5249C" w:rsidRPr="001169F7" w:rsidRDefault="00B5249C" w:rsidP="00B5249C">
      <w:pPr>
        <w:numPr>
          <w:ilvl w:val="0"/>
          <w:numId w:val="2"/>
        </w:numPr>
        <w:spacing w:after="120" w:line="240" w:lineRule="auto"/>
        <w:jc w:val="both"/>
        <w:rPr>
          <w:rFonts w:ascii="Arial" w:eastAsia="Times New Roman" w:hAnsi="Arial" w:cs="Arial"/>
          <w:lang w:eastAsia="es-ES"/>
        </w:rPr>
      </w:pPr>
      <w:r w:rsidRPr="001169F7">
        <w:rPr>
          <w:rFonts w:ascii="Arial" w:eastAsia="Times New Roman" w:hAnsi="Arial" w:cs="Arial"/>
          <w:lang w:eastAsia="es-ES"/>
        </w:rPr>
        <w:t>Desarrollo rural sostenible (hasta 100 puntos)</w:t>
      </w:r>
    </w:p>
    <w:p w:rsidR="00B5249C" w:rsidRPr="001169F7" w:rsidRDefault="00B5249C" w:rsidP="00B5249C">
      <w:pPr>
        <w:numPr>
          <w:ilvl w:val="0"/>
          <w:numId w:val="2"/>
        </w:numPr>
        <w:spacing w:after="120" w:line="240" w:lineRule="auto"/>
        <w:jc w:val="both"/>
        <w:rPr>
          <w:rFonts w:ascii="Arial" w:eastAsia="Times New Roman" w:hAnsi="Arial" w:cs="Arial"/>
          <w:lang w:eastAsia="es-ES"/>
        </w:rPr>
      </w:pPr>
      <w:r w:rsidRPr="001169F7">
        <w:rPr>
          <w:rFonts w:ascii="Arial" w:eastAsia="Times New Roman" w:hAnsi="Arial" w:cs="Arial"/>
          <w:lang w:eastAsia="es-ES"/>
        </w:rPr>
        <w:t>Derecho a la Educación (hasta 100 puntos)</w:t>
      </w:r>
    </w:p>
    <w:p w:rsidR="00B5249C" w:rsidRPr="001169F7" w:rsidRDefault="00B5249C" w:rsidP="00B5249C">
      <w:pPr>
        <w:numPr>
          <w:ilvl w:val="0"/>
          <w:numId w:val="2"/>
        </w:numPr>
        <w:spacing w:after="120" w:line="240" w:lineRule="auto"/>
        <w:jc w:val="both"/>
        <w:rPr>
          <w:rFonts w:ascii="Arial" w:eastAsia="Times New Roman" w:hAnsi="Arial" w:cs="Arial"/>
          <w:lang w:eastAsia="es-ES"/>
        </w:rPr>
      </w:pPr>
      <w:r w:rsidRPr="001169F7">
        <w:rPr>
          <w:rFonts w:ascii="Arial" w:eastAsia="Times New Roman" w:hAnsi="Arial" w:cs="Arial"/>
          <w:lang w:eastAsia="es-ES"/>
        </w:rPr>
        <w:t>Empoderamiento de las mujeres (hasta 100 puntos)</w:t>
      </w:r>
    </w:p>
    <w:p w:rsidR="00B5249C" w:rsidRPr="001169F7" w:rsidRDefault="00B5249C" w:rsidP="00B5249C">
      <w:pPr>
        <w:numPr>
          <w:ilvl w:val="0"/>
          <w:numId w:val="2"/>
        </w:numPr>
        <w:spacing w:after="120" w:line="240" w:lineRule="auto"/>
        <w:jc w:val="both"/>
        <w:rPr>
          <w:rFonts w:ascii="Arial" w:eastAsia="Times New Roman" w:hAnsi="Arial" w:cs="Arial"/>
          <w:lang w:eastAsia="es-ES"/>
        </w:rPr>
      </w:pPr>
      <w:r w:rsidRPr="001169F7">
        <w:rPr>
          <w:rFonts w:ascii="Arial" w:eastAsia="Times New Roman" w:hAnsi="Arial" w:cs="Arial"/>
          <w:lang w:eastAsia="es-ES"/>
        </w:rPr>
        <w:t>Sociedad civil local y gobernanza democrática (hasta 100 puntos)</w:t>
      </w:r>
    </w:p>
    <w:p w:rsidR="00AD7FDA" w:rsidRPr="001169F7" w:rsidRDefault="00AD7FDA" w:rsidP="00AD7FD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En caso de valorarse dos o más sectores, la puntuación definitiva es la suma de todos los sectores dividido entre el número de sectores en los que se ejecute la intervención.</w:t>
      </w:r>
    </w:p>
    <w:p w:rsidR="00B5249C" w:rsidRPr="001169F7" w:rsidRDefault="00B5249C" w:rsidP="00AD7FDA">
      <w:pPr>
        <w:spacing w:after="120" w:line="240" w:lineRule="auto"/>
        <w:jc w:val="both"/>
        <w:rPr>
          <w:rFonts w:ascii="Arial" w:eastAsia="Times New Roman" w:hAnsi="Arial" w:cs="Arial"/>
          <w:lang w:eastAsia="es-ES"/>
        </w:rPr>
      </w:pP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d.-</w:t>
      </w:r>
      <w:r w:rsidR="00335AFA" w:rsidRPr="001169F7">
        <w:rPr>
          <w:rFonts w:ascii="Arial" w:eastAsia="Times New Roman" w:hAnsi="Arial" w:cs="Arial"/>
          <w:lang w:eastAsia="es-ES"/>
        </w:rPr>
        <w:t xml:space="preserve"> </w:t>
      </w:r>
      <w:r w:rsidRPr="001169F7">
        <w:rPr>
          <w:rFonts w:ascii="Arial" w:eastAsia="Times New Roman" w:hAnsi="Arial" w:cs="Arial"/>
          <w:lang w:eastAsia="es-ES"/>
        </w:rPr>
        <w:t>Idoneidad con las prioridades de la Estrategia de Respuesta de la Cooperación Española a la crisis COVID-19 (hasta 30 puntos)</w:t>
      </w:r>
    </w:p>
    <w:p w:rsidR="00C529D6" w:rsidRPr="001169F7" w:rsidRDefault="00C529D6" w:rsidP="00C529D6">
      <w:pPr>
        <w:numPr>
          <w:ilvl w:val="0"/>
          <w:numId w:val="1"/>
        </w:numPr>
        <w:spacing w:after="120" w:line="240" w:lineRule="auto"/>
        <w:contextualSpacing/>
        <w:jc w:val="both"/>
        <w:rPr>
          <w:rFonts w:ascii="Arial" w:eastAsia="Times New Roman" w:hAnsi="Arial" w:cs="Arial"/>
          <w:lang w:eastAsia="es-ES"/>
        </w:rPr>
      </w:pPr>
      <w:r w:rsidRPr="001169F7">
        <w:rPr>
          <w:rFonts w:ascii="Arial" w:eastAsia="Times New Roman" w:hAnsi="Arial" w:cs="Arial"/>
          <w:lang w:eastAsia="es-ES"/>
        </w:rPr>
        <w:t>Salvar vidas: apoyo y fortalecimiento de los sistemas nacionales de salud. (hasta 30 puntos)</w:t>
      </w:r>
    </w:p>
    <w:p w:rsidR="00C529D6" w:rsidRPr="001169F7" w:rsidRDefault="00C529D6" w:rsidP="00C529D6">
      <w:pPr>
        <w:numPr>
          <w:ilvl w:val="0"/>
          <w:numId w:val="1"/>
        </w:numPr>
        <w:spacing w:after="120" w:line="240" w:lineRule="auto"/>
        <w:contextualSpacing/>
        <w:jc w:val="both"/>
        <w:rPr>
          <w:rFonts w:ascii="Arial" w:eastAsia="Times New Roman" w:hAnsi="Arial" w:cs="Arial"/>
          <w:lang w:eastAsia="es-ES"/>
        </w:rPr>
      </w:pPr>
      <w:r w:rsidRPr="001169F7">
        <w:rPr>
          <w:rFonts w:ascii="Arial" w:eastAsia="Times New Roman" w:hAnsi="Arial" w:cs="Arial"/>
          <w:lang w:eastAsia="es-ES"/>
        </w:rPr>
        <w:lastRenderedPageBreak/>
        <w:t>Proteger a las personas más vulnerables</w:t>
      </w:r>
      <w:r w:rsidRPr="001169F7">
        <w:rPr>
          <w:rFonts w:ascii="Arial" w:eastAsia="Times New Roman" w:hAnsi="Arial" w:cs="Arial"/>
          <w:b/>
          <w:lang w:eastAsia="es-ES"/>
        </w:rPr>
        <w:t xml:space="preserve"> </w:t>
      </w:r>
      <w:r w:rsidRPr="001169F7">
        <w:rPr>
          <w:rFonts w:ascii="Arial" w:eastAsia="Times New Roman" w:hAnsi="Arial" w:cs="Arial"/>
          <w:lang w:eastAsia="es-ES"/>
        </w:rPr>
        <w:t xml:space="preserve">y recuperar sus derechos y medios de vida. </w:t>
      </w:r>
      <w:r w:rsidRPr="001169F7">
        <w:rPr>
          <w:rFonts w:ascii="Arial" w:eastAsia="Times New Roman" w:hAnsi="Arial" w:cs="Arial"/>
          <w:spacing w:val="4"/>
          <w:lang w:eastAsia="es-ES"/>
        </w:rPr>
        <w:t xml:space="preserve">(hasta 30 puntos) </w:t>
      </w:r>
    </w:p>
    <w:p w:rsidR="00C529D6" w:rsidRPr="001169F7" w:rsidRDefault="00C529D6" w:rsidP="00C529D6">
      <w:pPr>
        <w:numPr>
          <w:ilvl w:val="0"/>
          <w:numId w:val="1"/>
        </w:numPr>
        <w:spacing w:after="0" w:line="240" w:lineRule="auto"/>
        <w:contextualSpacing/>
        <w:jc w:val="both"/>
        <w:rPr>
          <w:rFonts w:ascii="Arial" w:eastAsia="Times New Roman" w:hAnsi="Arial" w:cs="Arial"/>
          <w:spacing w:val="4"/>
          <w:lang w:eastAsia="es-ES"/>
        </w:rPr>
      </w:pPr>
      <w:r w:rsidRPr="001169F7">
        <w:rPr>
          <w:rFonts w:ascii="Arial" w:eastAsia="Times New Roman" w:hAnsi="Arial" w:cs="Arial"/>
          <w:lang w:eastAsia="es-ES"/>
        </w:rPr>
        <w:t xml:space="preserve">Preservar los sistemas socioeconómicos, recuperar el tejido productivo y reforzar la gobernabilidad. </w:t>
      </w:r>
      <w:r w:rsidRPr="001169F7">
        <w:rPr>
          <w:rFonts w:ascii="Arial" w:eastAsia="Times New Roman" w:hAnsi="Arial" w:cs="Arial"/>
          <w:spacing w:val="4"/>
          <w:lang w:eastAsia="es-ES"/>
        </w:rPr>
        <w:t>(hasta 30 puntos)</w:t>
      </w:r>
      <w:r w:rsidRPr="001169F7">
        <w:rPr>
          <w:rFonts w:ascii="Arial" w:eastAsia="Times New Roman" w:hAnsi="Arial" w:cs="Arial"/>
          <w:sz w:val="19"/>
          <w:szCs w:val="19"/>
          <w:lang w:eastAsia="es-ES"/>
        </w:rPr>
        <w:t xml:space="preserve"> </w:t>
      </w:r>
    </w:p>
    <w:p w:rsidR="00C529D6" w:rsidRPr="001169F7" w:rsidRDefault="00C529D6" w:rsidP="00C529D6">
      <w:pPr>
        <w:spacing w:after="120" w:line="240" w:lineRule="auto"/>
        <w:jc w:val="both"/>
        <w:rPr>
          <w:rFonts w:ascii="Arial" w:eastAsia="Times New Roman" w:hAnsi="Arial" w:cs="Arial"/>
          <w:lang w:eastAsia="es-ES"/>
        </w:rPr>
      </w:pPr>
    </w:p>
    <w:p w:rsidR="00C529D6" w:rsidRPr="001169F7" w:rsidRDefault="00C529D6"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En caso de valorarse en más de una prioridad, la puntuación definitiva es la suma de todas las prioridades dividido entre el número de prioridades en las que se ejecute la intervención.</w:t>
      </w:r>
    </w:p>
    <w:p w:rsidR="00C529D6" w:rsidRPr="001169F7" w:rsidRDefault="00335AFA" w:rsidP="00C529D6">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e</w:t>
      </w:r>
      <w:r w:rsidR="00C529D6" w:rsidRPr="001169F7">
        <w:rPr>
          <w:rFonts w:ascii="Arial" w:eastAsia="Times New Roman" w:hAnsi="Arial" w:cs="Arial"/>
          <w:lang w:eastAsia="es-ES"/>
        </w:rPr>
        <w:t>. Idoneidad con las prioridades geográficas</w:t>
      </w:r>
      <w:r w:rsidRPr="001169F7">
        <w:rPr>
          <w:rFonts w:ascii="Arial" w:eastAsia="Times New Roman" w:hAnsi="Arial" w:cs="Arial"/>
          <w:lang w:eastAsia="es-ES"/>
        </w:rPr>
        <w:t>. Se realiza en un PMA según la clasificación de Naciones Unidas</w:t>
      </w:r>
      <w:r w:rsidR="00C529D6" w:rsidRPr="001169F7">
        <w:rPr>
          <w:rFonts w:ascii="Arial" w:eastAsia="Times New Roman" w:hAnsi="Arial" w:cs="Arial"/>
          <w:lang w:eastAsia="es-ES"/>
        </w:rPr>
        <w:t xml:space="preserve">  (hasta 20 puntos). </w:t>
      </w:r>
    </w:p>
    <w:p w:rsidR="00335AFA" w:rsidRPr="001169F7" w:rsidRDefault="00335AFA" w:rsidP="00C529D6">
      <w:pPr>
        <w:spacing w:after="120" w:line="240" w:lineRule="auto"/>
        <w:jc w:val="both"/>
        <w:rPr>
          <w:rFonts w:ascii="Arial" w:eastAsia="Times New Roman" w:hAnsi="Arial" w:cs="Arial"/>
          <w:u w:val="single"/>
          <w:lang w:eastAsia="es-ES"/>
        </w:rPr>
      </w:pPr>
    </w:p>
    <w:p w:rsidR="00C529D6" w:rsidRPr="001169F7" w:rsidRDefault="0097563A" w:rsidP="001169F7">
      <w:pPr>
        <w:pStyle w:val="Prrafodelista"/>
        <w:numPr>
          <w:ilvl w:val="0"/>
          <w:numId w:val="4"/>
        </w:numPr>
        <w:spacing w:after="12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PRIORIDADES TRANSVERSALES Y SECTORIALES</w:t>
      </w:r>
      <w:r w:rsidR="001169F7" w:rsidRPr="001169F7">
        <w:rPr>
          <w:rFonts w:ascii="Arial" w:eastAsia="Times New Roman" w:hAnsi="Arial" w:cs="Arial"/>
          <w:u w:val="single"/>
          <w:lang w:eastAsia="es-ES"/>
        </w:rPr>
        <w:t xml:space="preserve"> COMÚN A TODAS LAS MODALIDADES </w:t>
      </w:r>
      <w:r w:rsidRPr="001169F7">
        <w:rPr>
          <w:rFonts w:ascii="Arial" w:eastAsia="Times New Roman" w:hAnsi="Arial" w:cs="Arial"/>
          <w:u w:val="single"/>
          <w:lang w:eastAsia="es-ES"/>
        </w:rPr>
        <w:t xml:space="preserve"> </w:t>
      </w:r>
    </w:p>
    <w:p w:rsidR="0097563A" w:rsidRPr="001169F7" w:rsidRDefault="0097563A" w:rsidP="00C529D6">
      <w:pPr>
        <w:spacing w:after="120" w:line="240" w:lineRule="auto"/>
        <w:jc w:val="both"/>
        <w:rPr>
          <w:rFonts w:ascii="Arial" w:eastAsia="Times New Roman" w:hAnsi="Arial" w:cs="Arial"/>
          <w:lang w:eastAsia="es-ES"/>
        </w:rPr>
      </w:pPr>
    </w:p>
    <w:p w:rsidR="0097563A" w:rsidRPr="001169F7" w:rsidRDefault="0097563A" w:rsidP="0097563A">
      <w:pPr>
        <w:spacing w:after="6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Enfoques trasversales</w:t>
      </w:r>
    </w:p>
    <w:p w:rsidR="0097563A" w:rsidRPr="001169F7" w:rsidRDefault="0097563A" w:rsidP="0097563A">
      <w:pPr>
        <w:spacing w:after="60" w:line="240" w:lineRule="auto"/>
        <w:jc w:val="both"/>
        <w:rPr>
          <w:rFonts w:ascii="Arial" w:eastAsia="Times New Roman" w:hAnsi="Arial" w:cs="Arial"/>
          <w:b/>
          <w:lang w:eastAsia="es-ES"/>
        </w:rPr>
      </w:pPr>
    </w:p>
    <w:p w:rsidR="0097563A" w:rsidRPr="001169F7" w:rsidRDefault="0097563A" w:rsidP="0097563A">
      <w:pPr>
        <w:spacing w:after="120" w:line="240" w:lineRule="auto"/>
        <w:jc w:val="both"/>
        <w:rPr>
          <w:rFonts w:ascii="Arial" w:eastAsia="Times New Roman" w:hAnsi="Arial" w:cs="Arial"/>
          <w:lang w:eastAsia="es-ES"/>
        </w:rPr>
      </w:pPr>
      <w:r w:rsidRPr="001169F7">
        <w:rPr>
          <w:rFonts w:ascii="Arial" w:eastAsia="Times New Roman" w:hAnsi="Arial" w:cs="Arial"/>
          <w:lang w:eastAsia="es-ES"/>
        </w:rPr>
        <w:t>1.-Enfoque de género: Compromiso con la igualdad entre mujeres y hombres, y la lucha contra la discriminación en base al género. El trabajo por corregir las desigualdades de género en la esfera social económica, así como en términos de derechos civiles y políticos; la importancia de valorar las implicaciones que tiene para los hombres y para las mujeres cualquier acción que se planifique en todas las áreas y en todos los niveles. Así mismo, la consideración que tiene incorporar la perspectiva de género no sólo en los proyectos sino también en la propia estrategia institucional de la ONGD.</w:t>
      </w:r>
    </w:p>
    <w:p w:rsidR="0097563A" w:rsidRPr="001169F7" w:rsidRDefault="0097563A" w:rsidP="0097563A">
      <w:pPr>
        <w:spacing w:after="120" w:line="240" w:lineRule="auto"/>
        <w:jc w:val="both"/>
        <w:rPr>
          <w:rFonts w:ascii="Arial" w:eastAsia="Times New Roman" w:hAnsi="Arial" w:cs="Arial"/>
          <w:szCs w:val="24"/>
          <w:lang w:eastAsia="es-ES"/>
        </w:rPr>
      </w:pPr>
      <w:r w:rsidRPr="001169F7">
        <w:rPr>
          <w:rFonts w:ascii="Arial" w:eastAsia="Times New Roman" w:hAnsi="Arial" w:cs="Arial"/>
          <w:szCs w:val="24"/>
          <w:lang w:eastAsia="es-ES"/>
        </w:rPr>
        <w:t>2.-Enfoque basado en los Derechos Humanos. Parte de la universalidad, indivisibilidad e interdependencia de todos los derechos humanos –civiles, políticos, económicos, sociales, culturales y ambientales- individuales y colectivos y debe estar basado en la garantía de los derechos reconocidos en los tratados internacionales. Se basa en el fortalecimiento de capacidades de personas para que conozcan sus derechos y tengan capacidad de exigirlos; y de las instituciones para que puedan cumplir con la garantía, promoción y protección de los derechos humanos. Así mismo en consonancia con el lema central de la Agenda 2030 de “no dejar a nadie atrás”, se centra especialmente en la consecución de los derechos de las poblaciones excluidas y marginadas. El fortalecimiento de capacidades de las personas, de las organizaciones de la sociedad civil y de las instituciones en inherente a este enfoque en un marco de gobernanza democrática (buen gobierno) a todos los niveles.</w:t>
      </w:r>
    </w:p>
    <w:p w:rsidR="0097563A" w:rsidRPr="001169F7" w:rsidRDefault="0097563A" w:rsidP="0097563A">
      <w:pPr>
        <w:spacing w:after="120" w:line="240" w:lineRule="auto"/>
        <w:jc w:val="both"/>
        <w:rPr>
          <w:rFonts w:ascii="Arial" w:eastAsia="Times New Roman" w:hAnsi="Arial" w:cs="Arial"/>
          <w:szCs w:val="24"/>
          <w:lang w:eastAsia="es-ES"/>
        </w:rPr>
      </w:pPr>
      <w:r w:rsidRPr="001169F7">
        <w:rPr>
          <w:rFonts w:ascii="Arial" w:eastAsia="Times New Roman" w:hAnsi="Arial" w:cs="Arial"/>
          <w:szCs w:val="24"/>
          <w:lang w:eastAsia="es-ES"/>
        </w:rPr>
        <w:t>3.-Diversidad cultural: El respeto a la diversidad cultural constituye una riqueza que ha de preservarse teniendo en cuenta los derechos humanos, dando especial relevancia a la protección del patrimonio material e inmaterial de los pueblos y a la promoción del diálogo intercultural. En el ámbito de los pueblos indígenas y afrodescendientes la equidad se vincula a los derechos humanos en procesos orientados a conseguir su participación política, plena y efectiva y a la defensa de sus derechos de propiedad intelectual, su patrimonio y su diversidad cultural. Sus especiales condiciones les confieren un gran protagonismo en la defensa de la biodiversidad cultural y la protección del medio ambiente. Así mismo, las brechas de desigualdad existentes hacen que sean grupos en situación de vulnerabilidad social y económica.</w:t>
      </w:r>
    </w:p>
    <w:p w:rsidR="0097563A" w:rsidRPr="001169F7" w:rsidRDefault="0097563A" w:rsidP="0097563A">
      <w:pPr>
        <w:spacing w:after="120" w:line="240" w:lineRule="auto"/>
        <w:jc w:val="both"/>
        <w:rPr>
          <w:rFonts w:ascii="Arial" w:eastAsia="Times New Roman" w:hAnsi="Arial" w:cs="Arial"/>
          <w:szCs w:val="24"/>
          <w:lang w:eastAsia="es-ES"/>
        </w:rPr>
      </w:pPr>
      <w:r w:rsidRPr="001169F7">
        <w:rPr>
          <w:rFonts w:ascii="Arial" w:eastAsia="Times New Roman" w:hAnsi="Arial" w:cs="Arial"/>
          <w:szCs w:val="24"/>
          <w:lang w:eastAsia="es-ES"/>
        </w:rPr>
        <w:t xml:space="preserve">4.-Sostenibilidad Medioambiental: implica que las intervenciones respetarán los recursos naturales, evitando que el progreso y el desarrollo produzcan la degradación del medio ambiente de forma que se satisfagan las necesidades del presente sin comprometer la capacidad de futuras generaciones para enfrentarse a sus propias </w:t>
      </w:r>
      <w:r w:rsidRPr="001169F7">
        <w:rPr>
          <w:rFonts w:ascii="Arial" w:eastAsia="Times New Roman" w:hAnsi="Arial" w:cs="Arial"/>
          <w:szCs w:val="24"/>
          <w:lang w:eastAsia="es-ES"/>
        </w:rPr>
        <w:lastRenderedPageBreak/>
        <w:t>necesidades. Tendrá especial importancia la incorporación de un análisis de impacto ambiental con el fin de evitar o minimizar los impactos negativos medioambientales identificados y la aplicación de las medidas correctoras pertinentes así como la incorporación de mecanismos para mitigar los efectos del cambio climático en la sostenibilidad de las intervenciones.</w:t>
      </w:r>
    </w:p>
    <w:p w:rsidR="00C529D6" w:rsidRPr="001169F7" w:rsidRDefault="00C529D6" w:rsidP="00C529D6">
      <w:pPr>
        <w:spacing w:after="120" w:line="240" w:lineRule="auto"/>
        <w:jc w:val="both"/>
        <w:rPr>
          <w:rFonts w:ascii="Arial" w:eastAsia="Times New Roman" w:hAnsi="Arial" w:cs="Arial"/>
          <w:u w:val="single"/>
          <w:lang w:eastAsia="es-ES"/>
        </w:rPr>
      </w:pPr>
    </w:p>
    <w:p w:rsidR="0097563A" w:rsidRPr="001169F7" w:rsidRDefault="0097563A" w:rsidP="0097563A">
      <w:pPr>
        <w:spacing w:after="60" w:line="240" w:lineRule="auto"/>
        <w:jc w:val="both"/>
        <w:rPr>
          <w:rFonts w:ascii="Arial" w:eastAsia="Times New Roman" w:hAnsi="Arial" w:cs="Arial"/>
          <w:u w:val="single"/>
          <w:lang w:eastAsia="es-ES"/>
        </w:rPr>
      </w:pPr>
      <w:r w:rsidRPr="001169F7">
        <w:rPr>
          <w:rFonts w:ascii="Arial" w:eastAsia="Times New Roman" w:hAnsi="Arial" w:cs="Arial"/>
          <w:u w:val="single"/>
          <w:lang w:eastAsia="es-ES"/>
        </w:rPr>
        <w:t>Prioridades Sectoriales</w:t>
      </w:r>
    </w:p>
    <w:p w:rsidR="0097563A" w:rsidRPr="001169F7" w:rsidRDefault="0097563A" w:rsidP="0097563A">
      <w:pPr>
        <w:spacing w:after="60" w:line="240" w:lineRule="auto"/>
        <w:jc w:val="both"/>
        <w:rPr>
          <w:rFonts w:ascii="Arial" w:eastAsia="Times New Roman" w:hAnsi="Arial" w:cs="Arial"/>
          <w:b/>
          <w:lang w:eastAsia="es-ES"/>
        </w:rPr>
      </w:pPr>
    </w:p>
    <w:p w:rsidR="00AD7FDA" w:rsidRPr="001169F7" w:rsidRDefault="00B5249C" w:rsidP="00DE5CE1">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 xml:space="preserve">Derecho a la salud </w:t>
      </w:r>
    </w:p>
    <w:p w:rsidR="00B5249C" w:rsidRPr="001169F7" w:rsidRDefault="00B5249C" w:rsidP="00AD7FDA">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Acceso equitativo y de calidad a los servicios de salud públicos.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Promoción del acceso de las mujeres a los servicios de salud sexual y reproductiva.</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Contribución a la lucha contra la desnutrición infantil.</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a iniciativas contra enfermedades de especial prevalencia.</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Acceso al agua y al saneamiento.</w:t>
      </w:r>
    </w:p>
    <w:p w:rsidR="00B5249C" w:rsidRPr="001169F7" w:rsidRDefault="00B5249C" w:rsidP="00B5249C">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Desarrollo rur</w:t>
      </w:r>
      <w:r w:rsidR="00AD7FDA" w:rsidRPr="001169F7">
        <w:rPr>
          <w:rFonts w:ascii="Arial" w:eastAsia="Times New Roman" w:hAnsi="Arial" w:cs="Arial"/>
          <w:lang w:eastAsia="es-ES"/>
        </w:rPr>
        <w:t xml:space="preserve">al sostenible </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w:t>
      </w:r>
      <w:r w:rsidRPr="001169F7">
        <w:rPr>
          <w:rFonts w:ascii="Arial" w:eastAsia="Times New Roman" w:hAnsi="Arial" w:cs="Arial"/>
          <w:szCs w:val="24"/>
          <w:lang w:val="es-ES_tradnl" w:eastAsia="es-ES"/>
        </w:rPr>
        <w:t xml:space="preserve"> Promoción de la economía solidaria como alternativa, especialmente de iniciativas lideradas por mujeres organizadas</w:t>
      </w:r>
      <w:r w:rsidRPr="001169F7">
        <w:rPr>
          <w:rFonts w:ascii="Arial" w:eastAsia="Times New Roman" w:hAnsi="Arial" w:cs="Arial"/>
          <w:lang w:eastAsia="es-ES"/>
        </w:rPr>
        <w:t>.</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xml:space="preserve">- </w:t>
      </w:r>
      <w:r w:rsidRPr="001169F7">
        <w:rPr>
          <w:rFonts w:ascii="Arial" w:eastAsia="Times New Roman" w:hAnsi="Arial" w:cs="Arial"/>
          <w:szCs w:val="24"/>
          <w:lang w:val="es-ES_tradnl" w:eastAsia="es-ES"/>
        </w:rPr>
        <w:t>Contribución al desarrollo agropecuario sostenible que considere las prácticas culturales de cada zona</w:t>
      </w:r>
      <w:r w:rsidRPr="001169F7">
        <w:rPr>
          <w:rFonts w:ascii="Arial" w:eastAsia="Times New Roman" w:hAnsi="Arial" w:cs="Arial"/>
          <w:lang w:eastAsia="es-ES"/>
        </w:rPr>
        <w:t>.</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a pequeños/as productores/as en la implementación de sistemas de producción ecológica.</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para la puesta en práctica de iniciativas vinculadas a la soberanía alimentaria</w:t>
      </w:r>
    </w:p>
    <w:p w:rsidR="00B5249C" w:rsidRPr="001169F7" w:rsidRDefault="00B5249C" w:rsidP="00B5249C">
      <w:pPr>
        <w:spacing w:after="120" w:line="240" w:lineRule="auto"/>
        <w:ind w:left="426"/>
        <w:jc w:val="both"/>
        <w:rPr>
          <w:rFonts w:ascii="Arial" w:eastAsia="Times New Roman" w:hAnsi="Arial" w:cs="Arial"/>
          <w:lang w:eastAsia="es-ES"/>
        </w:rPr>
      </w:pPr>
    </w:p>
    <w:p w:rsidR="00B5249C" w:rsidRPr="001169F7" w:rsidRDefault="00B5249C" w:rsidP="00B5249C">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Derecho a la Educación (hasta 120 puntos)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w:t>
      </w:r>
      <w:r w:rsidRPr="001169F7">
        <w:rPr>
          <w:rFonts w:ascii="Arial" w:eastAsia="Times New Roman" w:hAnsi="Arial" w:cs="Arial"/>
          <w:szCs w:val="24"/>
          <w:lang w:val="es-ES_tradnl" w:eastAsia="es-ES"/>
        </w:rPr>
        <w:t xml:space="preserve"> Potenciar acceso equitativo a la educación: </w:t>
      </w:r>
      <w:r w:rsidRPr="001169F7">
        <w:rPr>
          <w:rFonts w:ascii="Arial" w:eastAsia="Times New Roman" w:hAnsi="Arial" w:cs="Arial"/>
          <w:lang w:eastAsia="es-ES"/>
        </w:rPr>
        <w:t>inicial, primaria, secundaria, formación profesional y otras oficiales.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a la alfabetización de personas jóvenes y adultas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Fortalecer sistemas públicos de educación</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Promover modelos incluyentes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Promover la equidad de género</w:t>
      </w:r>
    </w:p>
    <w:p w:rsidR="00B5249C" w:rsidRPr="001169F7" w:rsidRDefault="00B5249C" w:rsidP="00B5249C">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Empoderamiento de las mujeres (hasta 120 puntos)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Promoción, protección y garantía del pleno ejercicio de los derechos sexuales y reproductivos.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Eliminación de la violencia contra las mujeres y violencia de género.</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xml:space="preserve">- Fomento del acceso y control de las mujeres sobre recursos. </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a iniciativas económicas lideradas por mujeres organizadas.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Apoyo a procesos de capacitación y transferencia de conocimientos en procesos productivos y de comercialización.</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Reconocimiento del trabajo de cuidados.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lastRenderedPageBreak/>
        <w:t>- Impulso a la participación de las mujeres en organizaciones (políticas y sociales) y acceso a los órganos de toma de decisiones.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de las capacidades técnicas y políticas de las mujeres.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de organizaciones de mujeres.</w:t>
      </w:r>
    </w:p>
    <w:p w:rsidR="00B5249C" w:rsidRPr="001169F7" w:rsidRDefault="00B5249C" w:rsidP="00B5249C">
      <w:pPr>
        <w:numPr>
          <w:ilvl w:val="0"/>
          <w:numId w:val="1"/>
        </w:numPr>
        <w:spacing w:after="120" w:line="240" w:lineRule="auto"/>
        <w:ind w:left="426" w:hanging="142"/>
        <w:jc w:val="both"/>
        <w:rPr>
          <w:rFonts w:ascii="Arial" w:eastAsia="Times New Roman" w:hAnsi="Arial" w:cs="Arial"/>
          <w:lang w:eastAsia="es-ES"/>
        </w:rPr>
      </w:pPr>
      <w:r w:rsidRPr="001169F7">
        <w:rPr>
          <w:rFonts w:ascii="Arial" w:eastAsia="Times New Roman" w:hAnsi="Arial" w:cs="Arial"/>
          <w:lang w:eastAsia="es-ES"/>
        </w:rPr>
        <w:t>Sociedad civil local y gobernanza democrática (hasta 120 puntos)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de capacidades técnicas de instituciones públicas locales para poder cumplir con la promoción de los derechos humanos internacionalmente reconocidos.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Promoción de los derechos humanos a nivel de titulares de derechos y de deberes.</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del estado a nivel local (descentralizado) para una mayor gobernabilidad.</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(formación y acompañamiento) de capacidades técnicas de instituciones públicas locales para la gestión de políticas públicas y su participación local.</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xml:space="preserve">- Apoyo a iniciativas legislativas de los gobiernos para garantizar el desarrollo de los pueblos y de los derechos de las mujeres. </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Fortalecimiento de capacidades técnicas de las organizaciones y movimientos de la sociedad civil para poder defender y exigir el cumplimiento de los derechos humanos internacionalmente reconocidos (capacidades para realizar incidencia política).</w:t>
      </w:r>
    </w:p>
    <w:p w:rsidR="00B5249C" w:rsidRPr="001169F7" w:rsidRDefault="00B5249C" w:rsidP="00B5249C">
      <w:pPr>
        <w:spacing w:after="120" w:line="240" w:lineRule="auto"/>
        <w:ind w:left="426"/>
        <w:jc w:val="both"/>
        <w:rPr>
          <w:rFonts w:ascii="Arial" w:eastAsia="Times New Roman" w:hAnsi="Arial" w:cs="Arial"/>
          <w:lang w:eastAsia="es-ES"/>
        </w:rPr>
      </w:pPr>
      <w:r w:rsidRPr="001169F7">
        <w:rPr>
          <w:rFonts w:ascii="Arial" w:eastAsia="Times New Roman" w:hAnsi="Arial" w:cs="Arial"/>
          <w:lang w:eastAsia="es-ES"/>
        </w:rPr>
        <w:t>- Fortalecer las capacidades técnicas de las organizaciones comunitarias para la gestión de las comunidades indígenas o campesinas, especialmente de las mujeres rurales organizadas.</w:t>
      </w:r>
    </w:p>
    <w:p w:rsidR="0028223A" w:rsidRPr="001169F7" w:rsidRDefault="0028223A">
      <w:pPr>
        <w:rPr>
          <w:rFonts w:ascii="Arial" w:hAnsi="Arial" w:cs="Arial"/>
        </w:rPr>
      </w:pPr>
    </w:p>
    <w:p w:rsidR="001169F7" w:rsidRPr="001169F7" w:rsidRDefault="001169F7">
      <w:pPr>
        <w:rPr>
          <w:rFonts w:ascii="Arial" w:hAnsi="Arial" w:cs="Arial"/>
        </w:rPr>
      </w:pPr>
    </w:p>
    <w:sectPr w:rsidR="001169F7" w:rsidRPr="001169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4481"/>
    <w:multiLevelType w:val="hybridMultilevel"/>
    <w:tmpl w:val="BD4A6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D25769"/>
    <w:multiLevelType w:val="hybridMultilevel"/>
    <w:tmpl w:val="7D56B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75F19AA"/>
    <w:multiLevelType w:val="hybridMultilevel"/>
    <w:tmpl w:val="7376D6C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FF453F3"/>
    <w:multiLevelType w:val="hybridMultilevel"/>
    <w:tmpl w:val="FAC02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8A"/>
    <w:rsid w:val="001169F7"/>
    <w:rsid w:val="001D3468"/>
    <w:rsid w:val="0028223A"/>
    <w:rsid w:val="00335AFA"/>
    <w:rsid w:val="0037695C"/>
    <w:rsid w:val="004B53C7"/>
    <w:rsid w:val="00576577"/>
    <w:rsid w:val="0097563A"/>
    <w:rsid w:val="009B42BB"/>
    <w:rsid w:val="00AD7FDA"/>
    <w:rsid w:val="00B5249C"/>
    <w:rsid w:val="00C04F8A"/>
    <w:rsid w:val="00C529D6"/>
    <w:rsid w:val="00DA5455"/>
    <w:rsid w:val="00F00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822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rsid w:val="0028223A"/>
    <w:rPr>
      <w:sz w:val="16"/>
      <w:szCs w:val="16"/>
    </w:rPr>
  </w:style>
  <w:style w:type="paragraph" w:styleId="Textocomentario">
    <w:name w:val="annotation text"/>
    <w:basedOn w:val="Normal"/>
    <w:link w:val="TextocomentarioCar"/>
    <w:rsid w:val="0028223A"/>
    <w:pPr>
      <w:spacing w:after="0" w:line="240" w:lineRule="auto"/>
      <w:jc w:val="both"/>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28223A"/>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2822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23A"/>
    <w:rPr>
      <w:rFonts w:ascii="Segoe UI" w:hAnsi="Segoe UI" w:cs="Segoe UI"/>
      <w:sz w:val="18"/>
      <w:szCs w:val="18"/>
    </w:rPr>
  </w:style>
  <w:style w:type="paragraph" w:styleId="Prrafodelista">
    <w:name w:val="List Paragraph"/>
    <w:basedOn w:val="Normal"/>
    <w:uiPriority w:val="34"/>
    <w:qFormat/>
    <w:rsid w:val="00B52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822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rsid w:val="0028223A"/>
    <w:rPr>
      <w:sz w:val="16"/>
      <w:szCs w:val="16"/>
    </w:rPr>
  </w:style>
  <w:style w:type="paragraph" w:styleId="Textocomentario">
    <w:name w:val="annotation text"/>
    <w:basedOn w:val="Normal"/>
    <w:link w:val="TextocomentarioCar"/>
    <w:rsid w:val="0028223A"/>
    <w:pPr>
      <w:spacing w:after="0" w:line="240" w:lineRule="auto"/>
      <w:jc w:val="both"/>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28223A"/>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2822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23A"/>
    <w:rPr>
      <w:rFonts w:ascii="Segoe UI" w:hAnsi="Segoe UI" w:cs="Segoe UI"/>
      <w:sz w:val="18"/>
      <w:szCs w:val="18"/>
    </w:rPr>
  </w:style>
  <w:style w:type="paragraph" w:styleId="Prrafodelista">
    <w:name w:val="List Paragraph"/>
    <w:basedOn w:val="Normal"/>
    <w:uiPriority w:val="34"/>
    <w:qFormat/>
    <w:rsid w:val="00B52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11787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N752101</dc:creator>
  <cp:lastModifiedBy>USUARIO</cp:lastModifiedBy>
  <cp:revision>2</cp:revision>
  <dcterms:created xsi:type="dcterms:W3CDTF">2021-03-09T07:37:00Z</dcterms:created>
  <dcterms:modified xsi:type="dcterms:W3CDTF">2021-03-09T07:37:00Z</dcterms:modified>
</cp:coreProperties>
</file>