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left w:w="0" w:type="dxa"/>
          <w:right w:w="0" w:type="dxa"/>
        </w:tblCellMar>
        <w:tblLook w:val="04A0" w:firstRow="1" w:lastRow="0" w:firstColumn="1" w:lastColumn="0" w:noHBand="0" w:noVBand="1"/>
      </w:tblPr>
      <w:tblGrid>
        <w:gridCol w:w="8504"/>
      </w:tblGrid>
      <w:tr w:rsidR="000A0C1D" w:rsidTr="00FD0C3D">
        <w:trPr>
          <w:jc w:val="center"/>
        </w:trPr>
        <w:tc>
          <w:tcPr>
            <w:tcW w:w="0" w:type="auto"/>
            <w:shd w:val="clear" w:color="auto" w:fill="FFFFFF"/>
            <w:tcMar>
              <w:top w:w="810" w:type="dxa"/>
              <w:left w:w="0" w:type="dxa"/>
              <w:bottom w:w="81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0A0C1D" w:rsidRPr="0035788E" w:rsidTr="00083DBC">
              <w:tc>
                <w:tcPr>
                  <w:tcW w:w="0" w:type="auto"/>
                  <w:tcMar>
                    <w:top w:w="0" w:type="dxa"/>
                    <w:left w:w="270" w:type="dxa"/>
                    <w:bottom w:w="135" w:type="dxa"/>
                    <w:right w:w="270" w:type="dxa"/>
                  </w:tcMar>
                  <w:hideMark/>
                </w:tcPr>
                <w:p w:rsidR="000A0C1D" w:rsidRPr="0035788E" w:rsidRDefault="000A0C1D" w:rsidP="000A0C1D">
                  <w:pPr>
                    <w:pStyle w:val="Ttulo1"/>
                    <w:rPr>
                      <w:rFonts w:ascii="Tahoma" w:eastAsia="Times New Roman" w:hAnsi="Tahoma" w:cs="Tahoma"/>
                      <w:sz w:val="40"/>
                      <w:szCs w:val="40"/>
                    </w:rPr>
                  </w:pPr>
                  <w:r>
                    <w:rPr>
                      <w:rFonts w:ascii="Tahoma" w:eastAsia="Times New Roman" w:hAnsi="Tahoma" w:cs="Tahoma"/>
                      <w:sz w:val="40"/>
                      <w:szCs w:val="40"/>
                    </w:rPr>
                    <w:t>La Coordinadora de ONGD de Navarra participará en Quorum Global en Málaga</w:t>
                  </w:r>
                </w:p>
              </w:tc>
            </w:tr>
          </w:tbl>
          <w:p w:rsidR="000A0C1D" w:rsidRDefault="000A0C1D" w:rsidP="000A0C1D"/>
        </w:tc>
      </w:tr>
      <w:tr w:rsidR="000A0C1D" w:rsidRPr="000A0C1D" w:rsidTr="00FD0C3D">
        <w:trPr>
          <w:jc w:val="center"/>
        </w:trPr>
        <w:tc>
          <w:tcPr>
            <w:tcW w:w="0" w:type="auto"/>
            <w:tcMar>
              <w:top w:w="540" w:type="dxa"/>
              <w:left w:w="0" w:type="dxa"/>
              <w:bottom w:w="810" w:type="dxa"/>
              <w:right w:w="0" w:type="dxa"/>
            </w:tcMar>
            <w:hideMark/>
          </w:tcPr>
          <w:tbl>
            <w:tblPr>
              <w:tblW w:w="9000" w:type="dxa"/>
              <w:jc w:val="center"/>
              <w:tblCellMar>
                <w:left w:w="0" w:type="dxa"/>
                <w:right w:w="0" w:type="dxa"/>
              </w:tblCellMar>
              <w:tblLook w:val="04A0" w:firstRow="1" w:lastRow="0" w:firstColumn="1" w:lastColumn="0" w:noHBand="0" w:noVBand="1"/>
            </w:tblPr>
            <w:tblGrid>
              <w:gridCol w:w="8504"/>
            </w:tblGrid>
            <w:tr w:rsidR="000A0C1D" w:rsidRPr="000A0C1D">
              <w:trPr>
                <w:jc w:val="center"/>
              </w:trPr>
              <w:tc>
                <w:tcPr>
                  <w:tcW w:w="9000" w:type="dxa"/>
                  <w:hideMark/>
                </w:tcPr>
                <w:tbl>
                  <w:tblPr>
                    <w:tblW w:w="5000" w:type="pct"/>
                    <w:jc w:val="center"/>
                    <w:tblCellMar>
                      <w:left w:w="0" w:type="dxa"/>
                      <w:right w:w="0" w:type="dxa"/>
                    </w:tblCellMar>
                    <w:tblLook w:val="04A0" w:firstRow="1" w:lastRow="0" w:firstColumn="1" w:lastColumn="0" w:noHBand="0" w:noVBand="1"/>
                  </w:tblPr>
                  <w:tblGrid>
                    <w:gridCol w:w="8504"/>
                  </w:tblGrid>
                  <w:tr w:rsidR="000A0C1D" w:rsidRPr="000A0C1D">
                    <w:trPr>
                      <w:jc w:val="center"/>
                    </w:trPr>
                    <w:tc>
                      <w:tcPr>
                        <w:tcW w:w="0" w:type="auto"/>
                      </w:tcPr>
                      <w:tbl>
                        <w:tblPr>
                          <w:tblW w:w="5000" w:type="pct"/>
                          <w:tblCellMar>
                            <w:left w:w="0" w:type="dxa"/>
                            <w:right w:w="0" w:type="dxa"/>
                          </w:tblCellMar>
                          <w:tblLook w:val="04A0" w:firstRow="1" w:lastRow="0" w:firstColumn="1" w:lastColumn="0" w:noHBand="0" w:noVBand="1"/>
                        </w:tblPr>
                        <w:tblGrid>
                          <w:gridCol w:w="8504"/>
                        </w:tblGrid>
                        <w:tr w:rsidR="000A0C1D" w:rsidRPr="000A0C1D">
                          <w:tc>
                            <w:tcPr>
                              <w:tcW w:w="0" w:type="auto"/>
                              <w:tcMar>
                                <w:top w:w="135" w:type="dxa"/>
                                <w:left w:w="0" w:type="dxa"/>
                                <w:bottom w:w="0" w:type="dxa"/>
                                <w:right w:w="0" w:type="dxa"/>
                              </w:tcMar>
                              <w:hideMark/>
                            </w:tcPr>
                            <w:p w:rsidR="00FD0C3D" w:rsidRPr="000A0C1D" w:rsidRDefault="00FD0C3D" w:rsidP="000A0C1D">
                              <w:pPr>
                                <w:jc w:val="both"/>
                                <w:rPr>
                                  <w:rFonts w:ascii="Tahoma" w:eastAsia="Times New Roman" w:hAnsi="Tahoma" w:cs="Tahoma"/>
                                  <w:sz w:val="22"/>
                                  <w:szCs w:val="22"/>
                                </w:rPr>
                              </w:pPr>
                            </w:p>
                          </w:tc>
                        </w:tr>
                      </w:tbl>
                      <w:tbl>
                        <w:tblPr>
                          <w:tblpPr w:vertAnchor="text" w:horzAnchor="page" w:tblpX="1" w:tblpY="-1021"/>
                          <w:tblOverlap w:val="never"/>
                          <w:tblW w:w="5000" w:type="pct"/>
                          <w:tblCellMar>
                            <w:left w:w="0" w:type="dxa"/>
                            <w:right w:w="0" w:type="dxa"/>
                          </w:tblCellMar>
                          <w:tblLook w:val="04A0" w:firstRow="1" w:lastRow="0" w:firstColumn="1" w:lastColumn="0" w:noHBand="0" w:noVBand="1"/>
                        </w:tblPr>
                        <w:tblGrid>
                          <w:gridCol w:w="8504"/>
                        </w:tblGrid>
                        <w:tr w:rsidR="00D964DA" w:rsidRPr="000A0C1D" w:rsidTr="00D964DA">
                          <w:tc>
                            <w:tcPr>
                              <w:tcW w:w="8504" w:type="dxa"/>
                              <w:hideMark/>
                            </w:tcPr>
                            <w:p w:rsidR="00D964DA" w:rsidRDefault="00D964DA" w:rsidP="00D964DA"/>
                            <w:tbl>
                              <w:tblPr>
                                <w:tblpPr w:leftFromText="45" w:rightFromText="45" w:vertAnchor="text"/>
                                <w:tblW w:w="5000" w:type="pct"/>
                                <w:tblCellMar>
                                  <w:left w:w="0" w:type="dxa"/>
                                  <w:right w:w="0" w:type="dxa"/>
                                </w:tblCellMar>
                                <w:tblLook w:val="04A0" w:firstRow="1" w:lastRow="0" w:firstColumn="1" w:lastColumn="0" w:noHBand="0" w:noVBand="1"/>
                              </w:tblPr>
                              <w:tblGrid>
                                <w:gridCol w:w="8504"/>
                              </w:tblGrid>
                              <w:tr w:rsidR="00D964DA" w:rsidRPr="000A0C1D" w:rsidTr="00FE3D1C">
                                <w:tc>
                                  <w:tcPr>
                                    <w:tcW w:w="0" w:type="auto"/>
                                    <w:tcMar>
                                      <w:top w:w="0" w:type="dxa"/>
                                      <w:left w:w="270" w:type="dxa"/>
                                      <w:bottom w:w="135" w:type="dxa"/>
                                      <w:right w:w="270" w:type="dxa"/>
                                    </w:tcMar>
                                    <w:hideMark/>
                                  </w:tcPr>
                                  <w:p w:rsidR="00D964DA" w:rsidRPr="00D964DA" w:rsidRDefault="00D964DA" w:rsidP="00D964DA">
                                    <w:pPr>
                                      <w:numPr>
                                        <w:ilvl w:val="0"/>
                                        <w:numId w:val="2"/>
                                      </w:numPr>
                                      <w:spacing w:before="100" w:beforeAutospacing="1" w:after="100" w:afterAutospacing="1" w:line="360" w:lineRule="auto"/>
                                      <w:jc w:val="both"/>
                                      <w:rPr>
                                        <w:rFonts w:ascii="Tahoma" w:eastAsia="Times New Roman" w:hAnsi="Tahoma" w:cs="Tahoma"/>
                                        <w:sz w:val="22"/>
                                        <w:szCs w:val="22"/>
                                      </w:rPr>
                                    </w:pPr>
                                    <w:r w:rsidRPr="00D964DA">
                                      <w:rPr>
                                        <w:rStyle w:val="Textoennegrita"/>
                                        <w:rFonts w:ascii="Tahoma" w:eastAsia="Times New Roman" w:hAnsi="Tahoma" w:cs="Tahoma"/>
                                        <w:sz w:val="22"/>
                                        <w:szCs w:val="22"/>
                                      </w:rPr>
                                      <w:t>Quorum Global se llama el proceso de acercamiento y conexión de los actores comprometidos con el cambio global desde la justicia, el bien común y la recuperación de la democracia, para fortalecer su acción política.</w:t>
                                    </w:r>
                                  </w:p>
                                  <w:p w:rsidR="00D964DA" w:rsidRPr="00D964DA" w:rsidRDefault="00D964DA" w:rsidP="00D964DA">
                                    <w:pPr>
                                      <w:numPr>
                                        <w:ilvl w:val="0"/>
                                        <w:numId w:val="2"/>
                                      </w:numPr>
                                      <w:spacing w:before="100" w:beforeAutospacing="1" w:after="100" w:afterAutospacing="1" w:line="360" w:lineRule="auto"/>
                                      <w:jc w:val="both"/>
                                      <w:rPr>
                                        <w:rFonts w:ascii="Tahoma" w:eastAsia="Times New Roman" w:hAnsi="Tahoma" w:cs="Tahoma"/>
                                        <w:sz w:val="22"/>
                                        <w:szCs w:val="22"/>
                                      </w:rPr>
                                    </w:pPr>
                                    <w:r w:rsidRPr="00D964DA">
                                      <w:rPr>
                                        <w:rStyle w:val="Textoennegrita"/>
                                        <w:rFonts w:ascii="Tahoma" w:eastAsia="Times New Roman" w:hAnsi="Tahoma" w:cs="Tahoma"/>
                                        <w:sz w:val="22"/>
                                        <w:szCs w:val="22"/>
                                      </w:rPr>
                                      <w:t>Organizaciones, movimientos, colectivos y personas individuales trabajan para transformar juntas el activismo</w:t>
                                    </w:r>
                                  </w:p>
                                  <w:p w:rsidR="00D964DA" w:rsidRPr="00D964DA" w:rsidRDefault="00D964DA" w:rsidP="00D964DA">
                                    <w:pPr>
                                      <w:numPr>
                                        <w:ilvl w:val="0"/>
                                        <w:numId w:val="2"/>
                                      </w:numPr>
                                      <w:spacing w:before="150" w:after="150" w:line="360" w:lineRule="auto"/>
                                      <w:jc w:val="both"/>
                                      <w:rPr>
                                        <w:rStyle w:val="Textoennegrita"/>
                                        <w:rFonts w:ascii="Tahoma" w:eastAsia="Times New Roman" w:hAnsi="Tahoma" w:cs="Tahoma"/>
                                        <w:b w:val="0"/>
                                        <w:bCs w:val="0"/>
                                        <w:sz w:val="22"/>
                                        <w:szCs w:val="22"/>
                                      </w:rPr>
                                    </w:pPr>
                                    <w:r w:rsidRPr="00D964DA">
                                      <w:rPr>
                                        <w:rStyle w:val="Textoennegrita"/>
                                        <w:rFonts w:ascii="Tahoma" w:eastAsia="Times New Roman" w:hAnsi="Tahoma" w:cs="Tahoma"/>
                                        <w:sz w:val="22"/>
                                        <w:szCs w:val="22"/>
                                      </w:rPr>
                                      <w:t xml:space="preserve">Un encuentro en Málaga en Octubre tomará la ciudad durante tres días para debatir y encontrar nuevas formas de trabajo conjunto. </w:t>
                                    </w:r>
                                    <w:r w:rsidRPr="00D964DA">
                                      <w:rPr>
                                        <w:rStyle w:val="Textoennegrita"/>
                                        <w:rFonts w:ascii="Tahoma" w:eastAsia="Times New Roman" w:hAnsi="Tahoma" w:cs="Tahoma"/>
                                        <w:sz w:val="22"/>
                                        <w:szCs w:val="22"/>
                                        <w:u w:val="single"/>
                                      </w:rPr>
                                      <w:t>La Coordinadora de ONGD de Navarra estará presente gracias al apoyo de Ayuntamiento de Pamplona.</w:t>
                                    </w:r>
                                  </w:p>
                                  <w:p w:rsidR="00D964DA" w:rsidRPr="00D964DA" w:rsidRDefault="00D964DA" w:rsidP="00D964DA">
                                    <w:pPr>
                                      <w:spacing w:before="150" w:after="150" w:line="360" w:lineRule="auto"/>
                                      <w:ind w:left="720"/>
                                      <w:jc w:val="both"/>
                                      <w:rPr>
                                        <w:rFonts w:ascii="Tahoma" w:eastAsia="Times New Roman" w:hAnsi="Tahoma" w:cs="Tahoma"/>
                                        <w:sz w:val="22"/>
                                        <w:szCs w:val="22"/>
                                      </w:rPr>
                                    </w:pP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A finales de 2017, una serie de colectivos diversos (</w:t>
                                    </w:r>
                                    <w:proofErr w:type="spellStart"/>
                                    <w:r w:rsidRPr="00D964DA">
                                      <w:rPr>
                                        <w:rFonts w:ascii="Tahoma" w:hAnsi="Tahoma" w:cs="Tahoma"/>
                                        <w:sz w:val="22"/>
                                        <w:szCs w:val="22"/>
                                      </w:rPr>
                                      <w:t>ONGs</w:t>
                                    </w:r>
                                    <w:proofErr w:type="spellEnd"/>
                                    <w:r w:rsidRPr="00D964DA">
                                      <w:rPr>
                                        <w:rFonts w:ascii="Tahoma" w:hAnsi="Tahoma" w:cs="Tahoma"/>
                                        <w:sz w:val="22"/>
                                        <w:szCs w:val="22"/>
                                      </w:rPr>
                                      <w:t xml:space="preserve"> y plataformas, movimientos, activistas y medios de comunicación) arrancaron un proceso para definir</w:t>
                                    </w:r>
                                    <w:r w:rsidRPr="00D964DA">
                                      <w:rPr>
                                        <w:rFonts w:ascii="Tahoma" w:hAnsi="Tahoma" w:cs="Tahoma"/>
                                        <w:sz w:val="22"/>
                                        <w:szCs w:val="22"/>
                                        <w:u w:val="single"/>
                                      </w:rPr>
                                      <w:t xml:space="preserve"> por qué su trabajo por la transformación social no da los resultados deseados</w:t>
                                    </w:r>
                                    <w:r w:rsidRPr="00D964DA">
                                      <w:rPr>
                                        <w:rFonts w:ascii="Tahoma" w:hAnsi="Tahoma" w:cs="Tahoma"/>
                                        <w:sz w:val="22"/>
                                        <w:szCs w:val="22"/>
                                      </w:rPr>
                                      <w:t>.</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 xml:space="preserve">Del diagnóstico surgió la necesidad clara de abrir el foco sectorial para establecer sinergias entre las propuestas que se vienen dando de forma aislada. Surge así Quorum Global, un espacio ambicioso que se pone por meta </w:t>
                                    </w:r>
                                    <w:r w:rsidRPr="00D964DA">
                                      <w:rPr>
                                        <w:rFonts w:ascii="Tahoma" w:hAnsi="Tahoma" w:cs="Tahoma"/>
                                        <w:sz w:val="22"/>
                                        <w:szCs w:val="22"/>
                                        <w:u w:val="single"/>
                                      </w:rPr>
                                      <w:t xml:space="preserve">transformar el </w:t>
                                    </w:r>
                                    <w:r w:rsidRPr="00D964DA">
                                      <w:rPr>
                                        <w:rFonts w:ascii="Tahoma" w:hAnsi="Tahoma" w:cs="Tahoma"/>
                                        <w:sz w:val="22"/>
                                        <w:szCs w:val="22"/>
                                        <w:u w:val="single"/>
                                      </w:rPr>
                                      <w:lastRenderedPageBreak/>
                                      <w:t>activismo y ampliar los impactos</w:t>
                                    </w:r>
                                    <w:r w:rsidRPr="00D964DA">
                                      <w:rPr>
                                        <w:rFonts w:ascii="Tahoma" w:hAnsi="Tahoma" w:cs="Tahoma"/>
                                        <w:sz w:val="22"/>
                                        <w:szCs w:val="22"/>
                                      </w:rPr>
                                      <w:t>.</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u w:val="single"/>
                                      </w:rPr>
                                      <w:t xml:space="preserve">Feminismos, economía social y solidaria, ecologismos, reforma democrática de las instituciones… </w:t>
                                    </w:r>
                                    <w:r w:rsidRPr="00D964DA">
                                      <w:rPr>
                                        <w:rFonts w:ascii="Tahoma" w:hAnsi="Tahoma" w:cs="Tahoma"/>
                                        <w:sz w:val="22"/>
                                        <w:szCs w:val="22"/>
                                      </w:rPr>
                                      <w:t>Las luchas están conectadas y forman parte de un mismo ecosistema, pero no siempre los actores se articulan estratégicamente para conseguir los cambios que pretenden. Quorum Global da un paso adelante para experimentar cómo un cambio en la manera de hacer puede conseguir mejores resultados, desde un clima de refuerzo mutuo.</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 xml:space="preserve">Este proceso pasa también por </w:t>
                                    </w:r>
                                    <w:r w:rsidRPr="00D964DA">
                                      <w:rPr>
                                        <w:rFonts w:ascii="Tahoma" w:hAnsi="Tahoma" w:cs="Tahoma"/>
                                        <w:sz w:val="22"/>
                                        <w:szCs w:val="22"/>
                                        <w:u w:val="single"/>
                                      </w:rPr>
                                      <w:t>un cambio profundo en la comunicación de estas luchas</w:t>
                                    </w:r>
                                    <w:r w:rsidRPr="00D964DA">
                                      <w:rPr>
                                        <w:rFonts w:ascii="Tahoma" w:hAnsi="Tahoma" w:cs="Tahoma"/>
                                        <w:sz w:val="22"/>
                                        <w:szCs w:val="22"/>
                                      </w:rPr>
                                      <w:t xml:space="preserve"> para llegar mejor a la sociedad: </w:t>
                                    </w:r>
                                    <w:proofErr w:type="spellStart"/>
                                    <w:r w:rsidRPr="00D964DA">
                                      <w:rPr>
                                        <w:rFonts w:ascii="Tahoma" w:hAnsi="Tahoma" w:cs="Tahoma"/>
                                        <w:sz w:val="22"/>
                                        <w:szCs w:val="22"/>
                                      </w:rPr>
                                      <w:t>repolitizar</w:t>
                                    </w:r>
                                    <w:proofErr w:type="spellEnd"/>
                                    <w:r w:rsidRPr="00D964DA">
                                      <w:rPr>
                                        <w:rFonts w:ascii="Tahoma" w:hAnsi="Tahoma" w:cs="Tahoma"/>
                                        <w:sz w:val="22"/>
                                        <w:szCs w:val="22"/>
                                      </w:rPr>
                                      <w:t xml:space="preserve"> discursos y mensajes, entretejer narrativas y propuestas sobre este momento de emergencias múltiples.</w:t>
                                    </w:r>
                                  </w:p>
                                  <w:p w:rsidR="00B66FC3" w:rsidRDefault="00D964DA" w:rsidP="00D964DA">
                                    <w:pPr>
                                      <w:spacing w:before="150" w:after="150" w:line="360" w:lineRule="auto"/>
                                      <w:jc w:val="both"/>
                                      <w:rPr>
                                        <w:rFonts w:ascii="Tahoma" w:hAnsi="Tahoma" w:cs="Tahoma"/>
                                        <w:sz w:val="22"/>
                                        <w:szCs w:val="22"/>
                                      </w:rPr>
                                    </w:pPr>
                                    <w:r w:rsidRPr="00D964DA">
                                      <w:rPr>
                                        <w:rFonts w:ascii="Tahoma" w:hAnsi="Tahoma" w:cs="Tahoma"/>
                                        <w:noProof/>
                                        <w:sz w:val="22"/>
                                        <w:szCs w:val="22"/>
                                        <w:lang w:val="es-ES" w:eastAsia="es-ES"/>
                                      </w:rPr>
                                      <w:drawing>
                                        <wp:inline distT="0" distB="0" distL="0" distR="0" wp14:anchorId="076EFEFA" wp14:editId="483868A7">
                                          <wp:extent cx="7620000" cy="2762250"/>
                                          <wp:effectExtent l="0" t="0" r="0" b="0"/>
                                          <wp:docPr id="6" name="Imagen 6" descr="https://gallery.mailchimp.com/4a4fd0162d4dfb0ee1a580253/images/bb03a980-5af0-4cd1-8dde-b020e6f65a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4a4fd0162d4dfb0ee1a580253/images/bb03a980-5af0-4cd1-8dde-b020e6f65a1f.jpg"/>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7620000" cy="2762250"/>
                                                  </a:xfrm>
                                                  <a:prstGeom prst="rect">
                                                    <a:avLst/>
                                                  </a:prstGeom>
                                                  <a:noFill/>
                                                  <a:ln>
                                                    <a:noFill/>
                                                  </a:ln>
                                                </pic:spPr>
                                              </pic:pic>
                                            </a:graphicData>
                                          </a:graphic>
                                        </wp:inline>
                                      </w:drawing>
                                    </w:r>
                                  </w:p>
                                  <w:p w:rsidR="00B66FC3" w:rsidRDefault="00B66FC3" w:rsidP="00D964DA">
                                    <w:pPr>
                                      <w:spacing w:before="150" w:after="150" w:line="360" w:lineRule="auto"/>
                                      <w:jc w:val="both"/>
                                      <w:rPr>
                                        <w:rFonts w:ascii="Tahoma" w:hAnsi="Tahoma" w:cs="Tahoma"/>
                                        <w:sz w:val="22"/>
                                        <w:szCs w:val="22"/>
                                      </w:rPr>
                                    </w:pPr>
                                  </w:p>
                                  <w:p w:rsidR="00D964DA" w:rsidRPr="00D964DA" w:rsidRDefault="00D964DA" w:rsidP="00D964DA">
                                    <w:pPr>
                                      <w:spacing w:before="150" w:after="150" w:line="360" w:lineRule="auto"/>
                                      <w:jc w:val="both"/>
                                      <w:rPr>
                                        <w:rStyle w:val="Textoennegrita"/>
                                        <w:rFonts w:ascii="Tahoma" w:hAnsi="Tahoma" w:cs="Tahoma"/>
                                        <w:b w:val="0"/>
                                        <w:bCs w:val="0"/>
                                        <w:sz w:val="22"/>
                                        <w:szCs w:val="22"/>
                                      </w:rPr>
                                    </w:pPr>
                                    <w:r w:rsidRPr="00D964DA">
                                      <w:rPr>
                                        <w:rFonts w:ascii="Tahoma" w:hAnsi="Tahoma" w:cs="Tahoma"/>
                                        <w:sz w:val="22"/>
                                        <w:szCs w:val="22"/>
                                      </w:rPr>
                                      <w:t>La elevada participación en el encuentro de presentación pública de la iniciativa (el pasado 24 de enero en Madrid) dio la medida del interés que despierta: más de 200 personas participaron en la definición de lo que Quorum Global debe ser: un punto de encuentro y altavoz de iniciativas en marcha, una red de articulación que trascienda el foco sectorial, y un laboratorio de experimentación de nuevas formas de hacer.</w:t>
                                    </w:r>
                                  </w:p>
                                  <w:p w:rsidR="00D964DA" w:rsidRPr="00D964DA" w:rsidRDefault="00D964DA" w:rsidP="00D964DA">
                                    <w:pPr>
                                      <w:spacing w:before="150" w:after="150" w:line="360" w:lineRule="auto"/>
                                      <w:jc w:val="both"/>
                                      <w:rPr>
                                        <w:rFonts w:ascii="Tahoma" w:hAnsi="Tahoma" w:cs="Tahoma"/>
                                        <w:sz w:val="22"/>
                                        <w:szCs w:val="22"/>
                                      </w:rPr>
                                    </w:pPr>
                                    <w:r w:rsidRPr="00D964DA">
                                      <w:rPr>
                                        <w:rStyle w:val="Textoennegrita"/>
                                        <w:rFonts w:ascii="Tahoma" w:hAnsi="Tahoma" w:cs="Tahoma"/>
                                        <w:sz w:val="22"/>
                                        <w:szCs w:val="22"/>
                                      </w:rPr>
                                      <w:lastRenderedPageBreak/>
                                      <w:t>Herramientas participativas</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Con la voluntad y los objetivos claramente definidos, se hacía necesario crear las herramientas para facilitar el proceso.</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 xml:space="preserve">Surge así </w:t>
                                    </w:r>
                                    <w:hyperlink r:id="rId8" w:history="1">
                                      <w:r w:rsidRPr="00D964DA">
                                        <w:rPr>
                                          <w:rStyle w:val="Hipervnculo"/>
                                          <w:rFonts w:ascii="Tahoma" w:hAnsi="Tahoma" w:cs="Tahoma"/>
                                          <w:color w:val="auto"/>
                                          <w:sz w:val="22"/>
                                          <w:szCs w:val="22"/>
                                        </w:rPr>
                                        <w:t>mapa.quorumglobal.org</w:t>
                                      </w:r>
                                    </w:hyperlink>
                                    <w:r w:rsidRPr="00D964DA">
                                      <w:rPr>
                                        <w:rFonts w:ascii="Tahoma" w:hAnsi="Tahoma" w:cs="Tahoma"/>
                                        <w:sz w:val="22"/>
                                        <w:szCs w:val="22"/>
                                      </w:rPr>
                                      <w:t xml:space="preserve">, </w:t>
                                    </w:r>
                                    <w:r w:rsidRPr="00D964DA">
                                      <w:rPr>
                                        <w:rFonts w:ascii="Tahoma" w:hAnsi="Tahoma" w:cs="Tahoma"/>
                                        <w:sz w:val="22"/>
                                        <w:szCs w:val="22"/>
                                        <w:u w:val="single"/>
                                      </w:rPr>
                                      <w:t>un mapa colaborativo y abierto de colectivos sociales,</w:t>
                                    </w:r>
                                    <w:r w:rsidRPr="00D964DA">
                                      <w:rPr>
                                        <w:rFonts w:ascii="Tahoma" w:hAnsi="Tahoma" w:cs="Tahoma"/>
                                        <w:sz w:val="22"/>
                                        <w:szCs w:val="22"/>
                                      </w:rPr>
                                      <w:t xml:space="preserve"> que busca visibilizar por ámbito de actuación y territorio los diferentes actores para favorecer conexiones a nivel local. Con más de 80 colectivos ya registrados, el mapa se encuentra en permanente construcción, y para sumar un colectivo u organización es suficiente con rellenar un cuestionario.</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 xml:space="preserve">Para animar encuentros presenciales que organizan los diferentes colectivos implicados, el espacio online </w:t>
                                    </w:r>
                                    <w:hyperlink r:id="rId9" w:history="1">
                                      <w:r w:rsidRPr="00D964DA">
                                        <w:rPr>
                                          <w:rStyle w:val="Hipervnculo"/>
                                          <w:rFonts w:ascii="Tahoma" w:hAnsi="Tahoma" w:cs="Tahoma"/>
                                          <w:color w:val="auto"/>
                                          <w:sz w:val="22"/>
                                          <w:szCs w:val="22"/>
                                        </w:rPr>
                                        <w:t>participa.quorumglobal.org</w:t>
                                      </w:r>
                                    </w:hyperlink>
                                    <w:r w:rsidRPr="00D964DA">
                                      <w:rPr>
                                        <w:rFonts w:ascii="Tahoma" w:hAnsi="Tahoma" w:cs="Tahoma"/>
                                        <w:sz w:val="22"/>
                                        <w:szCs w:val="22"/>
                                      </w:rPr>
                                      <w:t xml:space="preserve"> ofrece una</w:t>
                                    </w:r>
                                    <w:hyperlink r:id="rId10" w:history="1">
                                      <w:r w:rsidRPr="00D964DA">
                                        <w:rPr>
                                          <w:rStyle w:val="Hipervnculo"/>
                                          <w:rFonts w:ascii="Tahoma" w:hAnsi="Tahoma" w:cs="Tahoma"/>
                                          <w:color w:val="auto"/>
                                          <w:sz w:val="22"/>
                                          <w:szCs w:val="22"/>
                                        </w:rPr>
                                        <w:t xml:space="preserve"> Caja de herramientas con Dinámicas Participativas</w:t>
                                      </w:r>
                                    </w:hyperlink>
                                    <w:r w:rsidRPr="00D964DA">
                                      <w:rPr>
                                        <w:rFonts w:ascii="Tahoma" w:hAnsi="Tahoma" w:cs="Tahoma"/>
                                        <w:sz w:val="22"/>
                                        <w:szCs w:val="22"/>
                                      </w:rPr>
                                      <w:t xml:space="preserve"> para que cualquier organización o colectivo interesado en incorporarse al proceso disponga de herramientas útiles para empezar a aplicar estos cambios en su trabajo interno.</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 xml:space="preserve">Quizás la herramienta más significativa sea el espacio </w:t>
                                    </w:r>
                                    <w:hyperlink r:id="rId11" w:history="1">
                                      <w:r w:rsidRPr="00D964DA">
                                        <w:rPr>
                                          <w:rStyle w:val="Hipervnculo"/>
                                          <w:rFonts w:ascii="Tahoma" w:hAnsi="Tahoma" w:cs="Tahoma"/>
                                          <w:color w:val="auto"/>
                                          <w:sz w:val="22"/>
                                          <w:szCs w:val="22"/>
                                        </w:rPr>
                                        <w:t>Propuestas en marcha,</w:t>
                                      </w:r>
                                    </w:hyperlink>
                                    <w:r w:rsidRPr="00D964DA">
                                      <w:rPr>
                                        <w:rFonts w:ascii="Tahoma" w:hAnsi="Tahoma" w:cs="Tahoma"/>
                                        <w:sz w:val="22"/>
                                        <w:szCs w:val="22"/>
                                      </w:rPr>
                                      <w:t xml:space="preserve"> también dentro de </w:t>
                                    </w:r>
                                    <w:hyperlink r:id="rId12" w:history="1">
                                      <w:r w:rsidRPr="00D964DA">
                                        <w:rPr>
                                          <w:rStyle w:val="Hipervnculo"/>
                                          <w:rFonts w:ascii="Tahoma" w:hAnsi="Tahoma" w:cs="Tahoma"/>
                                          <w:color w:val="auto"/>
                                          <w:sz w:val="22"/>
                                          <w:szCs w:val="22"/>
                                        </w:rPr>
                                        <w:t>participa.quorumglobal.org</w:t>
                                      </w:r>
                                    </w:hyperlink>
                                    <w:r w:rsidRPr="00D964DA">
                                      <w:rPr>
                                        <w:rFonts w:ascii="Tahoma" w:hAnsi="Tahoma" w:cs="Tahoma"/>
                                        <w:sz w:val="22"/>
                                        <w:szCs w:val="22"/>
                                      </w:rPr>
                                      <w:t xml:space="preserve">. Basado en el </w:t>
                                    </w:r>
                                    <w:proofErr w:type="spellStart"/>
                                    <w:r w:rsidRPr="00D964DA">
                                      <w:rPr>
                                        <w:rFonts w:ascii="Tahoma" w:hAnsi="Tahoma" w:cs="Tahoma"/>
                                        <w:sz w:val="22"/>
                                        <w:szCs w:val="22"/>
                                      </w:rPr>
                                      <w:t>Decidim</w:t>
                                    </w:r>
                                    <w:proofErr w:type="spellEnd"/>
                                    <w:r w:rsidRPr="00D964DA">
                                      <w:rPr>
                                        <w:rFonts w:ascii="Tahoma" w:hAnsi="Tahoma" w:cs="Tahoma"/>
                                        <w:sz w:val="22"/>
                                        <w:szCs w:val="22"/>
                                      </w:rPr>
                                      <w:t xml:space="preserve"> (la herramienta de participación ciudadana de código abierto desarrollada a iniciativa del ayuntamiento de Barcelona), se ha generado un espacio de participación virtual en el que cualquier persona o colectivo puede volcar aquellas iniciativas o actividades que considere relevantes y añadirlas a este proceso.</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Porque ya hay en marcha</w:t>
                                    </w:r>
                                    <w:r w:rsidRPr="00D964DA">
                                      <w:rPr>
                                        <w:rFonts w:ascii="Tahoma" w:hAnsi="Tahoma" w:cs="Tahoma"/>
                                        <w:sz w:val="22"/>
                                        <w:szCs w:val="22"/>
                                        <w:u w:val="single"/>
                                      </w:rPr>
                                      <w:t xml:space="preserve"> propuestas de Acción Política o de Comunicación comprensibles y motivadoras,</w:t>
                                    </w:r>
                                    <w:r w:rsidRPr="00D964DA">
                                      <w:rPr>
                                        <w:rFonts w:ascii="Tahoma" w:hAnsi="Tahoma" w:cs="Tahoma"/>
                                        <w:sz w:val="22"/>
                                        <w:szCs w:val="22"/>
                                      </w:rPr>
                                      <w:t xml:space="preserve"> innovadoras por sus planteamientos, por quiénes las promueven o dónde, por sus formatos o formas de comunicar. Propuestas que mezclan personas, sectores y perspectivas, que conecten temáticas o luchas diferentes. Propositivas, que generen alternativas o respuestas concretas. </w:t>
                                    </w:r>
                                    <w:proofErr w:type="spellStart"/>
                                    <w:r w:rsidRPr="00D964DA">
                                      <w:rPr>
                                        <w:rFonts w:ascii="Tahoma" w:hAnsi="Tahoma" w:cs="Tahoma"/>
                                        <w:sz w:val="22"/>
                                        <w:szCs w:val="22"/>
                                      </w:rPr>
                                      <w:t>Glocales</w:t>
                                    </w:r>
                                    <w:proofErr w:type="spellEnd"/>
                                    <w:r w:rsidRPr="00D964DA">
                                      <w:rPr>
                                        <w:rFonts w:ascii="Tahoma" w:hAnsi="Tahoma" w:cs="Tahoma"/>
                                        <w:sz w:val="22"/>
                                        <w:szCs w:val="22"/>
                                      </w:rPr>
                                      <w:t>, que partan o permitan vincular una realidad local (o varias) con una visión global.</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 xml:space="preserve">Dado que el objetivo de Quorum Global es darlas a conocer, abrirlas y replicarlas, las propuestas compartidas en la herramienta pueden ser comentadas, valoradas </w:t>
                                    </w:r>
                                    <w:r w:rsidRPr="00D964DA">
                                      <w:rPr>
                                        <w:rFonts w:ascii="Tahoma" w:hAnsi="Tahoma" w:cs="Tahoma"/>
                                        <w:sz w:val="22"/>
                                        <w:szCs w:val="22"/>
                                      </w:rPr>
                                      <w:lastRenderedPageBreak/>
                                      <w:t>y mejoradas por la comunidad.</w:t>
                                    </w:r>
                                  </w:p>
                                  <w:p w:rsidR="00D964DA" w:rsidRPr="00D964DA" w:rsidRDefault="00D964DA" w:rsidP="00D964DA">
                                    <w:pPr>
                                      <w:spacing w:before="150" w:after="150" w:line="360" w:lineRule="auto"/>
                                      <w:jc w:val="both"/>
                                      <w:rPr>
                                        <w:rFonts w:ascii="Tahoma" w:hAnsi="Tahoma" w:cs="Tahoma"/>
                                        <w:sz w:val="22"/>
                                        <w:szCs w:val="22"/>
                                      </w:rPr>
                                    </w:pPr>
                                    <w:r w:rsidRPr="00D964DA">
                                      <w:rPr>
                                        <w:rStyle w:val="Textoennegrita"/>
                                        <w:rFonts w:ascii="Tahoma" w:hAnsi="Tahoma" w:cs="Tahoma"/>
                                        <w:sz w:val="22"/>
                                        <w:szCs w:val="22"/>
                                      </w:rPr>
                                      <w:t>Un encuentro presencial para unirlas a todas</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Un hito importante en el camino de este nuevo movimiento tendrá lugar a finales de octubre en Málaga. Del 19 al 21, el Campus universitario de El Ejido será el escenario en el que activistas de todo el territorio se darán cita para debatir durante tres días, sobre nuevas formas de acción colectiva.</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 xml:space="preserve">El Encuentro, bautizado como </w:t>
                                    </w:r>
                                    <w:hyperlink r:id="rId13" w:history="1">
                                      <w:r w:rsidRPr="00D964DA">
                                        <w:rPr>
                                          <w:rStyle w:val="Hipervnculo"/>
                                          <w:rFonts w:ascii="Tahoma" w:hAnsi="Tahoma" w:cs="Tahoma"/>
                                          <w:color w:val="auto"/>
                                          <w:sz w:val="22"/>
                                          <w:szCs w:val="22"/>
                                        </w:rPr>
                                        <w:t>Islas Encendidas</w:t>
                                      </w:r>
                                    </w:hyperlink>
                                    <w:r w:rsidRPr="00D964DA">
                                      <w:rPr>
                                        <w:rFonts w:ascii="Tahoma" w:hAnsi="Tahoma" w:cs="Tahoma"/>
                                        <w:sz w:val="22"/>
                                        <w:szCs w:val="22"/>
                                      </w:rPr>
                                      <w:t>, pretende visibilizar y conectar distintas iniciativas, experiencias y luchas que ya están en marcha, en torno a ejes clave para la transformación social, potenciar la interacción entre diversos actores y ámbitos sociales y generar nuevos compromisos de acción conjunta.</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 xml:space="preserve">Como dice la invitación a participar, </w:t>
                                    </w:r>
                                    <w:r w:rsidRPr="00D964DA">
                                      <w:rPr>
                                        <w:rStyle w:val="nfasis"/>
                                        <w:rFonts w:ascii="Tahoma" w:hAnsi="Tahoma" w:cs="Tahoma"/>
                                        <w:sz w:val="22"/>
                                        <w:szCs w:val="22"/>
                                      </w:rPr>
                                      <w:t>“Las islas están separadas, pero las une lo mismo que las separa: un mar. Muchas luchas sociales también parecen distantes y distintas, pero las une aquello que las provoca: un mismo modelo económico, que anula derechos, agrava desigualdades y destruye el planeta. Cuando las islas se encienden, dibujan un mapa y entonces podemos apreciar que todas juntas dan luz a una ruta de transformación.”</w:t>
                                    </w:r>
                                  </w:p>
                                  <w:p w:rsidR="00D964DA" w:rsidRPr="00D964DA" w:rsidRDefault="00D964DA" w:rsidP="00D964DA">
                                    <w:pPr>
                                      <w:spacing w:before="150" w:after="150" w:line="360" w:lineRule="auto"/>
                                      <w:jc w:val="both"/>
                                      <w:rPr>
                                        <w:rFonts w:ascii="Tahoma" w:hAnsi="Tahoma" w:cs="Tahoma"/>
                                        <w:sz w:val="22"/>
                                        <w:szCs w:val="22"/>
                                      </w:rPr>
                                    </w:pPr>
                                    <w:r w:rsidRPr="00D964DA">
                                      <w:rPr>
                                        <w:rFonts w:ascii="Tahoma" w:hAnsi="Tahoma" w:cs="Tahoma"/>
                                        <w:sz w:val="22"/>
                                        <w:szCs w:val="22"/>
                                      </w:rPr>
                                      <w:t xml:space="preserve">Islas Encendidas contará con la </w:t>
                                    </w:r>
                                    <w:r w:rsidRPr="00D964DA">
                                      <w:rPr>
                                        <w:rFonts w:ascii="Tahoma" w:hAnsi="Tahoma" w:cs="Tahoma"/>
                                        <w:sz w:val="22"/>
                                        <w:szCs w:val="22"/>
                                        <w:u w:val="single"/>
                                      </w:rPr>
                                      <w:t>presencia de personas destacadas del activismo y la lucha social de nuestro país</w:t>
                                    </w:r>
                                    <w:r w:rsidRPr="00D964DA">
                                      <w:rPr>
                                        <w:rFonts w:ascii="Tahoma" w:hAnsi="Tahoma" w:cs="Tahoma"/>
                                        <w:sz w:val="22"/>
                                        <w:szCs w:val="22"/>
                                      </w:rPr>
                                      <w:t>. Culminará el domingo 21 con una marcha que tomará las calles de la ciudad.</w:t>
                                    </w:r>
                                  </w:p>
                                  <w:p w:rsidR="00D964DA" w:rsidRPr="00D964DA" w:rsidRDefault="00D964DA" w:rsidP="00D964DA">
                                    <w:pPr>
                                      <w:spacing w:before="150" w:after="150" w:line="360" w:lineRule="auto"/>
                                      <w:jc w:val="center"/>
                                      <w:rPr>
                                        <w:rFonts w:ascii="Tahoma" w:hAnsi="Tahoma" w:cs="Tahoma"/>
                                        <w:sz w:val="22"/>
                                        <w:szCs w:val="22"/>
                                      </w:rPr>
                                    </w:pPr>
                                    <w:r w:rsidRPr="00D964DA">
                                      <w:rPr>
                                        <w:rFonts w:ascii="Tahoma" w:hAnsi="Tahoma" w:cs="Tahoma"/>
                                        <w:noProof/>
                                        <w:sz w:val="22"/>
                                        <w:szCs w:val="22"/>
                                        <w:lang w:val="es-ES" w:eastAsia="es-ES"/>
                                      </w:rPr>
                                      <w:drawing>
                                        <wp:inline distT="0" distB="0" distL="0" distR="0" wp14:anchorId="3713B279" wp14:editId="09B2A3B4">
                                          <wp:extent cx="3019425" cy="1404871"/>
                                          <wp:effectExtent l="0" t="0" r="0" b="5080"/>
                                          <wp:docPr id="5" name="Imagen 5" descr="D:\Users\USUARIO\Pictures\imagen_islas_web_sin_sombra2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USUARIO\Pictures\imagen_islas_web_sin_sombra2 (2).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19425" cy="1404871"/>
                                                  </a:xfrm>
                                                  <a:prstGeom prst="rect">
                                                    <a:avLst/>
                                                  </a:prstGeom>
                                                  <a:noFill/>
                                                  <a:ln>
                                                    <a:noFill/>
                                                  </a:ln>
                                                </pic:spPr>
                                              </pic:pic>
                                            </a:graphicData>
                                          </a:graphic>
                                        </wp:inline>
                                      </w:drawing>
                                    </w:r>
                                  </w:p>
                                  <w:p w:rsidR="00D964DA" w:rsidRPr="00D964DA" w:rsidRDefault="00D964DA" w:rsidP="00D964DA">
                                    <w:pPr>
                                      <w:spacing w:line="360" w:lineRule="auto"/>
                                      <w:jc w:val="both"/>
                                      <w:rPr>
                                        <w:rFonts w:ascii="Tahoma" w:hAnsi="Tahoma" w:cs="Tahoma"/>
                                        <w:sz w:val="22"/>
                                        <w:szCs w:val="22"/>
                                      </w:rPr>
                                    </w:pPr>
                                    <w:r w:rsidRPr="00D964DA">
                                      <w:rPr>
                                        <w:rStyle w:val="Textoennegrita"/>
                                        <w:rFonts w:ascii="Tahoma" w:hAnsi="Tahoma" w:cs="Tahoma"/>
                                        <w:sz w:val="22"/>
                                        <w:szCs w:val="22"/>
                                      </w:rPr>
                                      <w:t>Más información</w:t>
                                    </w:r>
                                    <w:r w:rsidRPr="00D964DA">
                                      <w:rPr>
                                        <w:rFonts w:ascii="Tahoma" w:hAnsi="Tahoma" w:cs="Tahoma"/>
                                        <w:sz w:val="22"/>
                                        <w:szCs w:val="22"/>
                                      </w:rPr>
                                      <w:t>:</w:t>
                                    </w:r>
                                  </w:p>
                                  <w:p w:rsidR="00D964DA" w:rsidRDefault="00D964DA" w:rsidP="00D964DA">
                                    <w:pPr>
                                      <w:spacing w:line="360" w:lineRule="auto"/>
                                      <w:jc w:val="both"/>
                                      <w:rPr>
                                        <w:rFonts w:ascii="Tahoma" w:hAnsi="Tahoma" w:cs="Tahoma"/>
                                        <w:sz w:val="22"/>
                                        <w:szCs w:val="22"/>
                                      </w:rPr>
                                    </w:pPr>
                                    <w:r w:rsidRPr="00D964DA">
                                      <w:rPr>
                                        <w:rFonts w:ascii="Tahoma" w:hAnsi="Tahoma" w:cs="Tahoma"/>
                                        <w:sz w:val="22"/>
                                        <w:szCs w:val="22"/>
                                      </w:rPr>
                                      <w:t xml:space="preserve">Ramón </w:t>
                                    </w:r>
                                    <w:proofErr w:type="spellStart"/>
                                    <w:r w:rsidRPr="00D964DA">
                                      <w:rPr>
                                        <w:rFonts w:ascii="Tahoma" w:hAnsi="Tahoma" w:cs="Tahoma"/>
                                        <w:sz w:val="22"/>
                                        <w:szCs w:val="22"/>
                                      </w:rPr>
                                      <w:t>Muñagorri</w:t>
                                    </w:r>
                                    <w:proofErr w:type="spellEnd"/>
                                    <w:r w:rsidRPr="00D964DA">
                                      <w:rPr>
                                        <w:rFonts w:ascii="Tahoma" w:hAnsi="Tahoma" w:cs="Tahoma"/>
                                        <w:sz w:val="22"/>
                                        <w:szCs w:val="22"/>
                                      </w:rPr>
                                      <w:t xml:space="preserve"> Triana - 699 90</w:t>
                                    </w:r>
                                    <w:r w:rsidR="00893DD5">
                                      <w:rPr>
                                        <w:rFonts w:ascii="Tahoma" w:hAnsi="Tahoma" w:cs="Tahoma"/>
                                        <w:sz w:val="22"/>
                                        <w:szCs w:val="22"/>
                                      </w:rPr>
                                      <w:t>7</w:t>
                                    </w:r>
                                    <w:bookmarkStart w:id="0" w:name="_GoBack"/>
                                    <w:bookmarkEnd w:id="0"/>
                                    <w:r w:rsidRPr="00D964DA">
                                      <w:rPr>
                                        <w:rFonts w:ascii="Tahoma" w:hAnsi="Tahoma" w:cs="Tahoma"/>
                                        <w:sz w:val="22"/>
                                        <w:szCs w:val="22"/>
                                      </w:rPr>
                                      <w:t>960/ Héctor Rivero García - 608 944 927</w:t>
                                    </w:r>
                                  </w:p>
                                  <w:p w:rsidR="00D964DA" w:rsidRPr="000A0C1D" w:rsidRDefault="00D964DA" w:rsidP="002813BC">
                                    <w:pPr>
                                      <w:spacing w:before="150" w:after="150" w:line="360" w:lineRule="auto"/>
                                      <w:jc w:val="both"/>
                                      <w:rPr>
                                        <w:rFonts w:ascii="Tahoma" w:hAnsi="Tahoma" w:cs="Tahoma"/>
                                        <w:sz w:val="22"/>
                                        <w:szCs w:val="22"/>
                                      </w:rPr>
                                    </w:pPr>
                                  </w:p>
                                </w:tc>
                              </w:tr>
                            </w:tbl>
                            <w:p w:rsidR="00D964DA" w:rsidRPr="000A0C1D" w:rsidRDefault="00D964DA" w:rsidP="00D964DA">
                              <w:pPr>
                                <w:jc w:val="both"/>
                                <w:rPr>
                                  <w:rFonts w:ascii="Tahoma" w:eastAsia="Times New Roman" w:hAnsi="Tahoma" w:cs="Tahoma"/>
                                  <w:sz w:val="22"/>
                                  <w:szCs w:val="22"/>
                                </w:rPr>
                              </w:pPr>
                            </w:p>
                          </w:tc>
                        </w:tr>
                      </w:tbl>
                      <w:p w:rsidR="000A0C1D" w:rsidRPr="000A0C1D" w:rsidRDefault="000A0C1D" w:rsidP="00D964DA">
                        <w:pPr>
                          <w:rPr>
                            <w:rFonts w:ascii="Tahoma" w:hAnsi="Tahoma" w:cs="Tahoma"/>
                            <w:sz w:val="22"/>
                            <w:szCs w:val="22"/>
                          </w:rPr>
                        </w:pPr>
                      </w:p>
                      <w:p w:rsidR="00FD0C3D" w:rsidRPr="000A0C1D" w:rsidRDefault="00FD0C3D" w:rsidP="000A0C1D">
                        <w:pPr>
                          <w:jc w:val="both"/>
                          <w:rPr>
                            <w:rFonts w:ascii="Tahoma" w:hAnsi="Tahoma" w:cs="Tahoma"/>
                            <w:sz w:val="22"/>
                            <w:szCs w:val="22"/>
                          </w:rPr>
                        </w:pPr>
                      </w:p>
                    </w:tc>
                  </w:tr>
                  <w:tr w:rsidR="000A0C1D" w:rsidRPr="000A0C1D">
                    <w:trPr>
                      <w:jc w:val="center"/>
                    </w:trPr>
                    <w:tc>
                      <w:tcPr>
                        <w:tcW w:w="0" w:type="auto"/>
                      </w:tcPr>
                      <w:p w:rsidR="000A0C1D" w:rsidRDefault="000A0C1D"/>
                    </w:tc>
                  </w:tr>
                </w:tbl>
                <w:p w:rsidR="00FD0C3D" w:rsidRPr="000A0C1D" w:rsidRDefault="00FD0C3D" w:rsidP="000A0C1D">
                  <w:pPr>
                    <w:jc w:val="both"/>
                    <w:rPr>
                      <w:rFonts w:ascii="Tahoma" w:eastAsia="Times New Roman" w:hAnsi="Tahoma" w:cs="Tahoma"/>
                      <w:sz w:val="22"/>
                      <w:szCs w:val="22"/>
                    </w:rPr>
                  </w:pPr>
                </w:p>
              </w:tc>
            </w:tr>
          </w:tbl>
          <w:p w:rsidR="00FD0C3D" w:rsidRPr="000A0C1D" w:rsidRDefault="00FD0C3D" w:rsidP="000A0C1D">
            <w:pPr>
              <w:jc w:val="both"/>
              <w:rPr>
                <w:rFonts w:ascii="Tahoma" w:eastAsia="Times New Roman" w:hAnsi="Tahoma" w:cs="Tahoma"/>
                <w:sz w:val="22"/>
                <w:szCs w:val="22"/>
              </w:rPr>
            </w:pPr>
          </w:p>
        </w:tc>
      </w:tr>
    </w:tbl>
    <w:p w:rsidR="0026109A" w:rsidRDefault="0026109A" w:rsidP="00D964DA"/>
    <w:sectPr w:rsidR="0026109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6D4BD8"/>
    <w:multiLevelType w:val="multilevel"/>
    <w:tmpl w:val="DA6AAE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7EDF14D1"/>
    <w:multiLevelType w:val="multilevel"/>
    <w:tmpl w:val="9F6450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C3D"/>
    <w:rsid w:val="000A0C1D"/>
    <w:rsid w:val="0026109A"/>
    <w:rsid w:val="002813BC"/>
    <w:rsid w:val="00893DD5"/>
    <w:rsid w:val="00B66FC3"/>
    <w:rsid w:val="00D964DA"/>
    <w:rsid w:val="00F24A60"/>
    <w:rsid w:val="00FD0C3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C3D"/>
    <w:rPr>
      <w:rFonts w:ascii="Times New Roman" w:hAnsi="Times New Roman" w:cs="Times New Roman"/>
      <w:sz w:val="24"/>
      <w:szCs w:val="24"/>
      <w:lang w:eastAsia="es-ES_tradnl"/>
    </w:rPr>
  </w:style>
  <w:style w:type="paragraph" w:styleId="Ttulo1">
    <w:name w:val="heading 1"/>
    <w:basedOn w:val="Normal"/>
    <w:link w:val="Ttulo1Car"/>
    <w:uiPriority w:val="9"/>
    <w:qFormat/>
    <w:rsid w:val="00FD0C3D"/>
    <w:pPr>
      <w:spacing w:line="360" w:lineRule="auto"/>
      <w:jc w:val="center"/>
      <w:outlineLvl w:val="0"/>
    </w:pPr>
    <w:rPr>
      <w:rFonts w:ascii="Helvetica" w:hAnsi="Helvetica" w:cs="Helvetica"/>
      <w:b/>
      <w:bCs/>
      <w:color w:val="222222"/>
      <w:kern w:val="36"/>
      <w:sz w:val="60"/>
      <w:szCs w:val="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0C3D"/>
    <w:rPr>
      <w:rFonts w:ascii="Helvetica" w:hAnsi="Helvetica" w:cs="Helvetica"/>
      <w:b/>
      <w:bCs/>
      <w:color w:val="222222"/>
      <w:kern w:val="36"/>
      <w:sz w:val="60"/>
      <w:szCs w:val="60"/>
      <w:lang w:eastAsia="es-ES_tradnl"/>
    </w:rPr>
  </w:style>
  <w:style w:type="character" w:styleId="Hipervnculo">
    <w:name w:val="Hyperlink"/>
    <w:basedOn w:val="Fuentedeprrafopredeter"/>
    <w:uiPriority w:val="99"/>
    <w:semiHidden/>
    <w:unhideWhenUsed/>
    <w:rsid w:val="00FD0C3D"/>
    <w:rPr>
      <w:color w:val="0000FF"/>
      <w:u w:val="single"/>
    </w:rPr>
  </w:style>
  <w:style w:type="character" w:styleId="Textoennegrita">
    <w:name w:val="Strong"/>
    <w:basedOn w:val="Fuentedeprrafopredeter"/>
    <w:uiPriority w:val="22"/>
    <w:qFormat/>
    <w:rsid w:val="00FD0C3D"/>
    <w:rPr>
      <w:b/>
      <w:bCs/>
    </w:rPr>
  </w:style>
  <w:style w:type="character" w:styleId="nfasis">
    <w:name w:val="Emphasis"/>
    <w:basedOn w:val="Fuentedeprrafopredeter"/>
    <w:uiPriority w:val="20"/>
    <w:qFormat/>
    <w:rsid w:val="00FD0C3D"/>
    <w:rPr>
      <w:i/>
      <w:iCs/>
    </w:rPr>
  </w:style>
  <w:style w:type="paragraph" w:styleId="Textodeglobo">
    <w:name w:val="Balloon Text"/>
    <w:basedOn w:val="Normal"/>
    <w:link w:val="TextodegloboCar"/>
    <w:uiPriority w:val="99"/>
    <w:semiHidden/>
    <w:unhideWhenUsed/>
    <w:rsid w:val="00FD0C3D"/>
    <w:rPr>
      <w:rFonts w:ascii="Tahoma" w:hAnsi="Tahoma" w:cs="Tahoma"/>
      <w:sz w:val="16"/>
      <w:szCs w:val="16"/>
    </w:rPr>
  </w:style>
  <w:style w:type="character" w:customStyle="1" w:styleId="TextodegloboCar">
    <w:name w:val="Texto de globo Car"/>
    <w:basedOn w:val="Fuentedeprrafopredeter"/>
    <w:link w:val="Textodeglobo"/>
    <w:uiPriority w:val="99"/>
    <w:semiHidden/>
    <w:rsid w:val="00FD0C3D"/>
    <w:rPr>
      <w:rFonts w:ascii="Tahoma" w:hAnsi="Tahoma" w:cs="Tahoma"/>
      <w:sz w:val="16"/>
      <w:szCs w:val="16"/>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C3D"/>
    <w:rPr>
      <w:rFonts w:ascii="Times New Roman" w:hAnsi="Times New Roman" w:cs="Times New Roman"/>
      <w:sz w:val="24"/>
      <w:szCs w:val="24"/>
      <w:lang w:eastAsia="es-ES_tradnl"/>
    </w:rPr>
  </w:style>
  <w:style w:type="paragraph" w:styleId="Ttulo1">
    <w:name w:val="heading 1"/>
    <w:basedOn w:val="Normal"/>
    <w:link w:val="Ttulo1Car"/>
    <w:uiPriority w:val="9"/>
    <w:qFormat/>
    <w:rsid w:val="00FD0C3D"/>
    <w:pPr>
      <w:spacing w:line="360" w:lineRule="auto"/>
      <w:jc w:val="center"/>
      <w:outlineLvl w:val="0"/>
    </w:pPr>
    <w:rPr>
      <w:rFonts w:ascii="Helvetica" w:hAnsi="Helvetica" w:cs="Helvetica"/>
      <w:b/>
      <w:bCs/>
      <w:color w:val="222222"/>
      <w:kern w:val="36"/>
      <w:sz w:val="60"/>
      <w:szCs w:val="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0C3D"/>
    <w:rPr>
      <w:rFonts w:ascii="Helvetica" w:hAnsi="Helvetica" w:cs="Helvetica"/>
      <w:b/>
      <w:bCs/>
      <w:color w:val="222222"/>
      <w:kern w:val="36"/>
      <w:sz w:val="60"/>
      <w:szCs w:val="60"/>
      <w:lang w:eastAsia="es-ES_tradnl"/>
    </w:rPr>
  </w:style>
  <w:style w:type="character" w:styleId="Hipervnculo">
    <w:name w:val="Hyperlink"/>
    <w:basedOn w:val="Fuentedeprrafopredeter"/>
    <w:uiPriority w:val="99"/>
    <w:semiHidden/>
    <w:unhideWhenUsed/>
    <w:rsid w:val="00FD0C3D"/>
    <w:rPr>
      <w:color w:val="0000FF"/>
      <w:u w:val="single"/>
    </w:rPr>
  </w:style>
  <w:style w:type="character" w:styleId="Textoennegrita">
    <w:name w:val="Strong"/>
    <w:basedOn w:val="Fuentedeprrafopredeter"/>
    <w:uiPriority w:val="22"/>
    <w:qFormat/>
    <w:rsid w:val="00FD0C3D"/>
    <w:rPr>
      <w:b/>
      <w:bCs/>
    </w:rPr>
  </w:style>
  <w:style w:type="character" w:styleId="nfasis">
    <w:name w:val="Emphasis"/>
    <w:basedOn w:val="Fuentedeprrafopredeter"/>
    <w:uiPriority w:val="20"/>
    <w:qFormat/>
    <w:rsid w:val="00FD0C3D"/>
    <w:rPr>
      <w:i/>
      <w:iCs/>
    </w:rPr>
  </w:style>
  <w:style w:type="paragraph" w:styleId="Textodeglobo">
    <w:name w:val="Balloon Text"/>
    <w:basedOn w:val="Normal"/>
    <w:link w:val="TextodegloboCar"/>
    <w:uiPriority w:val="99"/>
    <w:semiHidden/>
    <w:unhideWhenUsed/>
    <w:rsid w:val="00FD0C3D"/>
    <w:rPr>
      <w:rFonts w:ascii="Tahoma" w:hAnsi="Tahoma" w:cs="Tahoma"/>
      <w:sz w:val="16"/>
      <w:szCs w:val="16"/>
    </w:rPr>
  </w:style>
  <w:style w:type="character" w:customStyle="1" w:styleId="TextodegloboCar">
    <w:name w:val="Texto de globo Car"/>
    <w:basedOn w:val="Fuentedeprrafopredeter"/>
    <w:link w:val="Textodeglobo"/>
    <w:uiPriority w:val="99"/>
    <w:semiHidden/>
    <w:rsid w:val="00FD0C3D"/>
    <w:rPr>
      <w:rFonts w:ascii="Tahoma" w:hAnsi="Tahoma" w:cs="Tahoma"/>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249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orumglobal.us18.list-manage.com/track/click?u=4a4fd0162d4dfb0ee1a580253&amp;id=363c780574&amp;e=f0f85b5a7f" TargetMode="External"/><Relationship Id="rId13" Type="http://schemas.openxmlformats.org/officeDocument/2006/relationships/hyperlink" Target="https://quorumglobal.us18.list-manage.com/track/click?u=4a4fd0162d4dfb0ee1a580253&amp;id=ff5a0b30fd&amp;e=f0f85b5a7f" TargetMode="External"/><Relationship Id="rId3" Type="http://schemas.microsoft.com/office/2007/relationships/stylesWithEffects" Target="stylesWithEffects.xml"/><Relationship Id="rId7" Type="http://schemas.openxmlformats.org/officeDocument/2006/relationships/image" Target="cid:image001.jpg@01D425A1.48ECD530" TargetMode="External"/><Relationship Id="rId12" Type="http://schemas.openxmlformats.org/officeDocument/2006/relationships/hyperlink" Target="https://quorumglobal.us18.list-manage.com/track/click?u=4a4fd0162d4dfb0ee1a580253&amp;id=783cba1648&amp;e=f0f85b5a7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quorumglobal.us18.list-manage.com/track/click?u=4a4fd0162d4dfb0ee1a580253&amp;id=b70528f027&amp;e=f0f85b5a7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quorumglobal.us18.list-manage.com/track/click?u=4a4fd0162d4dfb0ee1a580253&amp;id=3f295634f4&amp;e=f0f85b5a7f" TargetMode="External"/><Relationship Id="rId4" Type="http://schemas.openxmlformats.org/officeDocument/2006/relationships/settings" Target="settings.xml"/><Relationship Id="rId9" Type="http://schemas.openxmlformats.org/officeDocument/2006/relationships/hyperlink" Target="https://quorumglobal.us18.list-manage.com/track/click?u=4a4fd0162d4dfb0ee1a580253&amp;id=fa43455536&amp;e=f0f85b5a7f" TargetMode="External"/><Relationship Id="rId14"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5397</Characters>
  <Application>Microsoft Office Word</Application>
  <DocSecurity>4</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dcterms:created xsi:type="dcterms:W3CDTF">2018-08-09T07:09:00Z</dcterms:created>
  <dcterms:modified xsi:type="dcterms:W3CDTF">2018-08-09T07:09:00Z</dcterms:modified>
</cp:coreProperties>
</file>